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06" w:rsidRPr="001F6006" w:rsidRDefault="001F6006" w:rsidP="001F6006">
      <w:pPr>
        <w:spacing w:before="56" w:after="170" w:line="240" w:lineRule="auto"/>
        <w:rPr>
          <w:rFonts w:ascii="Times New Roman" w:eastAsia="ヒラギノ明朝 Pro W3" w:hAnsi="Times New Roman"/>
          <w:sz w:val="24"/>
          <w:szCs w:val="24"/>
          <w:u w:val="single"/>
          <w:lang w:val="tr-TR" w:eastAsia="en-US"/>
        </w:rPr>
      </w:pPr>
      <w:bookmarkStart w:id="0" w:name="_GoBack"/>
      <w:bookmarkEnd w:id="0"/>
      <w:r w:rsidRPr="001F6006">
        <w:rPr>
          <w:rFonts w:ascii="Times New Roman" w:eastAsia="ヒラギノ明朝 Pro W3" w:hAnsi="Times New Roman"/>
          <w:sz w:val="24"/>
          <w:szCs w:val="24"/>
          <w:u w:val="single"/>
          <w:lang w:val="tr-TR" w:eastAsia="en-US"/>
        </w:rPr>
        <w:t>Enerji Piyasası Düzenleme Kurumundan:</w:t>
      </w:r>
    </w:p>
    <w:p w:rsidR="001F6006" w:rsidRPr="001F6006" w:rsidRDefault="001F6006" w:rsidP="001F6006">
      <w:pPr>
        <w:spacing w:before="56" w:after="170" w:line="240" w:lineRule="auto"/>
        <w:rPr>
          <w:rFonts w:ascii="Times New Roman" w:eastAsia="ヒラギノ明朝 Pro W3" w:hAnsi="Times New Roman"/>
          <w:sz w:val="24"/>
          <w:szCs w:val="24"/>
          <w:u w:val="single"/>
          <w:lang w:val="tr-TR" w:eastAsia="en-US"/>
        </w:rPr>
      </w:pPr>
    </w:p>
    <w:p w:rsidR="00A27563" w:rsidRPr="001F6006" w:rsidRDefault="00A27563" w:rsidP="00A27563">
      <w:pPr>
        <w:spacing w:before="56" w:after="170" w:line="240" w:lineRule="auto"/>
        <w:jc w:val="center"/>
        <w:rPr>
          <w:rFonts w:ascii="Times New Roman" w:eastAsia="ヒラギノ明朝 Pro W3" w:hAnsi="Times New Roman"/>
          <w:b/>
          <w:sz w:val="24"/>
          <w:szCs w:val="24"/>
          <w:lang w:val="tr-TR" w:eastAsia="en-US"/>
        </w:rPr>
      </w:pPr>
      <w:r w:rsidRPr="001F6006">
        <w:rPr>
          <w:rFonts w:ascii="Times New Roman" w:eastAsia="ヒラギノ明朝 Pro W3" w:hAnsi="Times New Roman"/>
          <w:b/>
          <w:sz w:val="24"/>
          <w:szCs w:val="24"/>
          <w:lang w:val="tr-TR" w:eastAsia="en-US"/>
        </w:rPr>
        <w:t>ELEKTRİK PİYASASI KAPASİTE MEKANİZMASI YÖNETMELİĞİ</w:t>
      </w:r>
    </w:p>
    <w:p w:rsidR="00A27563" w:rsidRPr="001F6006" w:rsidRDefault="00A27563" w:rsidP="00A27563">
      <w:pPr>
        <w:spacing w:after="0" w:line="240" w:lineRule="auto"/>
        <w:jc w:val="center"/>
        <w:rPr>
          <w:rFonts w:ascii="Times New Roman" w:eastAsia="ヒラギノ明朝 Pro W3" w:hAnsi="Times New Roman"/>
          <w:b/>
          <w:sz w:val="24"/>
          <w:szCs w:val="24"/>
          <w:lang w:val="tr-TR" w:eastAsia="en-US"/>
        </w:rPr>
      </w:pPr>
    </w:p>
    <w:p w:rsidR="00A27563" w:rsidRPr="001F6006" w:rsidRDefault="00A27563" w:rsidP="00A27563">
      <w:pPr>
        <w:spacing w:after="0" w:line="240" w:lineRule="auto"/>
        <w:jc w:val="center"/>
        <w:rPr>
          <w:rFonts w:ascii="Times New Roman" w:eastAsia="ヒラギノ明朝 Pro W3" w:hAnsi="Times New Roman"/>
          <w:b/>
          <w:sz w:val="24"/>
          <w:szCs w:val="24"/>
          <w:lang w:val="tr-TR" w:eastAsia="en-US"/>
        </w:rPr>
      </w:pPr>
      <w:r w:rsidRPr="001F6006">
        <w:rPr>
          <w:rFonts w:ascii="Times New Roman" w:eastAsia="ヒラギノ明朝 Pro W3" w:hAnsi="Times New Roman"/>
          <w:b/>
          <w:sz w:val="24"/>
          <w:szCs w:val="24"/>
          <w:lang w:val="tr-TR" w:eastAsia="en-US"/>
        </w:rPr>
        <w:t>BİRİNCİ BÖLÜM</w:t>
      </w:r>
    </w:p>
    <w:p w:rsidR="00A27563" w:rsidRPr="001F6006" w:rsidRDefault="00A27563" w:rsidP="00A27563">
      <w:pPr>
        <w:spacing w:after="0" w:line="240" w:lineRule="auto"/>
        <w:jc w:val="center"/>
        <w:rPr>
          <w:rFonts w:ascii="Times New Roman" w:eastAsia="ヒラギノ明朝 Pro W3" w:hAnsi="Times New Roman"/>
          <w:b/>
          <w:sz w:val="24"/>
          <w:szCs w:val="24"/>
          <w:lang w:val="tr-TR" w:eastAsia="en-US"/>
        </w:rPr>
      </w:pPr>
      <w:r w:rsidRPr="001F6006">
        <w:rPr>
          <w:rFonts w:ascii="Times New Roman" w:eastAsia="ヒラギノ明朝 Pro W3" w:hAnsi="Times New Roman"/>
          <w:b/>
          <w:sz w:val="24"/>
          <w:szCs w:val="24"/>
          <w:lang w:val="tr-TR" w:eastAsia="en-US"/>
        </w:rPr>
        <w:t>Amaç, Kapsam, Dayanak ve Tanımlar</w:t>
      </w: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b/>
          <w:sz w:val="24"/>
          <w:szCs w:val="24"/>
          <w:lang w:val="tr-TR" w:eastAsia="en-US"/>
        </w:rPr>
      </w:pP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b/>
          <w:sz w:val="24"/>
          <w:szCs w:val="24"/>
          <w:lang w:val="tr-TR" w:eastAsia="en-US"/>
        </w:rPr>
      </w:pPr>
      <w:r w:rsidRPr="001F6006">
        <w:rPr>
          <w:rFonts w:ascii="Times New Roman" w:eastAsia="ヒラギノ明朝 Pro W3" w:hAnsi="Times New Roman"/>
          <w:b/>
          <w:sz w:val="24"/>
          <w:szCs w:val="24"/>
          <w:lang w:val="tr-TR" w:eastAsia="en-US"/>
        </w:rPr>
        <w:t xml:space="preserve">Amaç </w:t>
      </w:r>
    </w:p>
    <w:p w:rsidR="00A27563" w:rsidRPr="001F6006" w:rsidRDefault="00A27563" w:rsidP="00A27563">
      <w:pPr>
        <w:spacing w:line="240" w:lineRule="auto"/>
        <w:ind w:firstLine="566"/>
        <w:jc w:val="both"/>
        <w:rPr>
          <w:rFonts w:ascii="Times New Roman" w:hAnsi="Times New Roman"/>
          <w:sz w:val="24"/>
          <w:szCs w:val="24"/>
          <w:lang w:val="tr-TR"/>
        </w:rPr>
      </w:pPr>
      <w:r w:rsidRPr="001F6006">
        <w:rPr>
          <w:rFonts w:ascii="Times New Roman" w:eastAsia="ヒラギノ明朝 Pro W3" w:hAnsi="Times New Roman"/>
          <w:b/>
          <w:sz w:val="24"/>
          <w:szCs w:val="24"/>
          <w:lang w:val="tr-TR" w:eastAsia="en-US"/>
        </w:rPr>
        <w:t>MADDE 1 –</w:t>
      </w:r>
      <w:r w:rsidRPr="001F6006">
        <w:rPr>
          <w:rFonts w:ascii="Times New Roman" w:eastAsia="ヒラギノ明朝 Pro W3" w:hAnsi="Times New Roman"/>
          <w:sz w:val="24"/>
          <w:szCs w:val="24"/>
          <w:lang w:val="tr-TR" w:eastAsia="en-US"/>
        </w:rPr>
        <w:t xml:space="preserve"> (1) </w:t>
      </w:r>
      <w:r w:rsidRPr="001F6006">
        <w:rPr>
          <w:rFonts w:ascii="Times New Roman" w:hAnsi="Times New Roman"/>
          <w:sz w:val="24"/>
          <w:szCs w:val="24"/>
          <w:lang w:val="tr-TR"/>
        </w:rPr>
        <w:t>Bu Yönetmeliğin amacı, elektrik piyasasında arz güvenliğinin temini için gerekli yedek kapasite de dâhil olmak üzere yeterli kurulu güç kapasitesinin oluşturulması ve/veya uzun dönemli sistem güvenliğinin temini için güvenilir kurulu güç kapasitesinin korunması amacıyla TEİAŞ tarafından işletilecek olan kapasite mekanizmasına ilişkin kuralların belirlenmesidir.</w:t>
      </w: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b/>
          <w:sz w:val="24"/>
          <w:szCs w:val="24"/>
          <w:lang w:val="tr-TR" w:eastAsia="en-US"/>
        </w:rPr>
      </w:pP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b/>
          <w:sz w:val="24"/>
          <w:szCs w:val="24"/>
          <w:lang w:val="tr-TR" w:eastAsia="en-US"/>
        </w:rPr>
      </w:pPr>
      <w:r w:rsidRPr="001F6006">
        <w:rPr>
          <w:rFonts w:ascii="Times New Roman" w:eastAsia="ヒラギノ明朝 Pro W3" w:hAnsi="Times New Roman"/>
          <w:b/>
          <w:sz w:val="24"/>
          <w:szCs w:val="24"/>
          <w:lang w:val="tr-TR" w:eastAsia="en-US"/>
        </w:rPr>
        <w:t>Kapsam</w:t>
      </w:r>
    </w:p>
    <w:p w:rsidR="00A27563" w:rsidRPr="001F6006" w:rsidRDefault="00A27563" w:rsidP="00A27563">
      <w:pPr>
        <w:tabs>
          <w:tab w:val="left" w:pos="566"/>
        </w:tabs>
        <w:spacing w:after="0" w:line="240" w:lineRule="auto"/>
        <w:jc w:val="both"/>
        <w:rPr>
          <w:rFonts w:ascii="Times New Roman" w:hAnsi="Times New Roman"/>
          <w:sz w:val="24"/>
          <w:szCs w:val="24"/>
          <w:lang w:val="tr-TR"/>
        </w:rPr>
      </w:pPr>
      <w:r w:rsidRPr="001F6006">
        <w:rPr>
          <w:rFonts w:ascii="Times New Roman" w:eastAsia="ヒラギノ明朝 Pro W3" w:hAnsi="Times New Roman"/>
          <w:b/>
          <w:sz w:val="24"/>
          <w:szCs w:val="24"/>
          <w:lang w:val="tr-TR" w:eastAsia="en-US"/>
        </w:rPr>
        <w:tab/>
        <w:t>MADDE 2 –</w:t>
      </w:r>
      <w:r w:rsidRPr="001F6006">
        <w:rPr>
          <w:rFonts w:ascii="Times New Roman" w:eastAsia="ヒラギノ明朝 Pro W3" w:hAnsi="Times New Roman"/>
          <w:sz w:val="24"/>
          <w:szCs w:val="24"/>
          <w:lang w:val="tr-TR" w:eastAsia="en-US"/>
        </w:rPr>
        <w:t xml:space="preserve"> (1) </w:t>
      </w:r>
      <w:r w:rsidRPr="001F6006">
        <w:rPr>
          <w:rFonts w:ascii="Times New Roman" w:hAnsi="Times New Roman"/>
          <w:sz w:val="24"/>
          <w:szCs w:val="24"/>
          <w:lang w:val="tr-TR"/>
        </w:rPr>
        <w:t>Bu Yönetmelik, hangi santrallerin kapasite mekanizması içinde yer alabileceğine, yerli kaynaklara verilecek ö</w:t>
      </w:r>
      <w:r w:rsidR="00D7789E" w:rsidRPr="001F6006">
        <w:rPr>
          <w:rFonts w:ascii="Times New Roman" w:hAnsi="Times New Roman"/>
          <w:sz w:val="24"/>
          <w:szCs w:val="24"/>
          <w:lang w:val="tr-TR"/>
        </w:rPr>
        <w:t>n</w:t>
      </w:r>
      <w:r w:rsidRPr="001F6006">
        <w:rPr>
          <w:rFonts w:ascii="Times New Roman" w:hAnsi="Times New Roman"/>
          <w:sz w:val="24"/>
          <w:szCs w:val="24"/>
          <w:lang w:val="tr-TR"/>
        </w:rPr>
        <w:t>celiklere, kapasite ödemelerine esas yıllık bütçenin belirlenmesine, bütçenin nasıl kullanılacağına, hangi aralıklarla ilgililere kapasite ödemesi yapılacağına, kapasite ödemelerine esas maliyet bileşenlerinin hesaplanmasına, kapasite mekanizmasında yer alan santrallere yapılacak kapasite ödemelerinin hesaplanmasına ve ödeme yapılmasına engel teşkil eden hususlara dair usul ve esasları kapsar.</w:t>
      </w: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b/>
          <w:sz w:val="24"/>
          <w:szCs w:val="24"/>
          <w:lang w:val="tr-TR" w:eastAsia="en-US"/>
        </w:rPr>
      </w:pP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b/>
          <w:sz w:val="24"/>
          <w:szCs w:val="24"/>
          <w:lang w:val="tr-TR" w:eastAsia="en-US"/>
        </w:rPr>
      </w:pPr>
      <w:r w:rsidRPr="001F6006">
        <w:rPr>
          <w:rFonts w:ascii="Times New Roman" w:eastAsia="ヒラギノ明朝 Pro W3" w:hAnsi="Times New Roman"/>
          <w:b/>
          <w:sz w:val="24"/>
          <w:szCs w:val="24"/>
          <w:lang w:val="tr-TR" w:eastAsia="en-US"/>
        </w:rPr>
        <w:t>Dayanak</w:t>
      </w: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b/>
          <w:sz w:val="24"/>
          <w:szCs w:val="24"/>
          <w:lang w:val="tr-TR" w:eastAsia="en-US"/>
        </w:rPr>
        <w:t>MADDE 3 –</w:t>
      </w:r>
      <w:r w:rsidRPr="001F6006">
        <w:rPr>
          <w:rFonts w:ascii="Times New Roman" w:eastAsia="ヒラギノ明朝 Pro W3" w:hAnsi="Times New Roman"/>
          <w:sz w:val="24"/>
          <w:szCs w:val="24"/>
          <w:lang w:val="tr-TR" w:eastAsia="en-US"/>
        </w:rPr>
        <w:t xml:space="preserve"> (1) Bu Yönetmelik; 14/3/2013 tarihli ve 6446 sayılı Elektrik Piyasası Kanununun 20 nci maddesine dayanılarak hazırlanmıştır.</w:t>
      </w: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sz w:val="24"/>
          <w:szCs w:val="24"/>
          <w:lang w:val="tr-TR" w:eastAsia="en-US"/>
        </w:rPr>
      </w:pP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b/>
          <w:sz w:val="24"/>
          <w:szCs w:val="24"/>
          <w:lang w:val="tr-TR" w:eastAsia="en-US"/>
        </w:rPr>
      </w:pPr>
      <w:r w:rsidRPr="001F6006">
        <w:rPr>
          <w:rFonts w:ascii="Times New Roman" w:eastAsia="ヒラギノ明朝 Pro W3" w:hAnsi="Times New Roman"/>
          <w:b/>
          <w:sz w:val="24"/>
          <w:szCs w:val="24"/>
          <w:lang w:val="tr-TR" w:eastAsia="en-US"/>
        </w:rPr>
        <w:t>Tanımlar</w:t>
      </w: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b/>
          <w:sz w:val="24"/>
          <w:szCs w:val="24"/>
          <w:lang w:val="tr-TR" w:eastAsia="en-US"/>
        </w:rPr>
        <w:t>MADDE 4 –</w:t>
      </w:r>
      <w:r w:rsidRPr="001F6006">
        <w:rPr>
          <w:rFonts w:ascii="Times New Roman" w:eastAsia="ヒラギノ明朝 Pro W3" w:hAnsi="Times New Roman"/>
          <w:sz w:val="24"/>
          <w:szCs w:val="24"/>
          <w:lang w:val="tr-TR" w:eastAsia="en-US"/>
        </w:rPr>
        <w:t xml:space="preserve"> (1) Bu Yönetmelikte geçen;</w:t>
      </w:r>
    </w:p>
    <w:p w:rsidR="00A27563" w:rsidRPr="001F6006" w:rsidRDefault="00A27563" w:rsidP="00A27563">
      <w:pPr>
        <w:tabs>
          <w:tab w:val="left" w:pos="566"/>
        </w:tabs>
        <w:spacing w:after="0" w:line="240" w:lineRule="auto"/>
        <w:ind w:firstLine="566"/>
        <w:jc w:val="both"/>
        <w:rPr>
          <w:rFonts w:ascii="Times New Roman" w:eastAsia="ヒラギノ明朝 Pro W3" w:hAnsi="Times New Roman"/>
          <w:sz w:val="24"/>
          <w:szCs w:val="24"/>
          <w:lang w:val="tr-TR" w:eastAsia="en-US"/>
        </w:rPr>
      </w:pP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a)</w:t>
      </w:r>
      <w:r w:rsidRPr="00D049FF">
        <w:rPr>
          <w:rFonts w:ascii="Times New Roman" w:eastAsia="Calibri" w:hAnsi="Times New Roman"/>
          <w:sz w:val="24"/>
          <w:szCs w:val="24"/>
          <w:lang w:val="tr-TR" w:eastAsia="en-US"/>
        </w:rPr>
        <w:tab/>
        <w:t>Bakanlık: Enerji ve Tabii Kaynaklar Bakanlığını,</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Pr>
          <w:rFonts w:ascii="Times New Roman" w:eastAsia="Calibri" w:hAnsi="Times New Roman"/>
          <w:sz w:val="24"/>
          <w:szCs w:val="24"/>
          <w:lang w:val="tr-TR" w:eastAsia="en-US"/>
        </w:rPr>
        <w:t>b)</w:t>
      </w:r>
      <w:r>
        <w:rPr>
          <w:rFonts w:ascii="Times New Roman" w:eastAsia="Calibri" w:hAnsi="Times New Roman"/>
          <w:sz w:val="24"/>
          <w:szCs w:val="24"/>
          <w:lang w:val="tr-TR" w:eastAsia="en-US"/>
        </w:rPr>
        <w:tab/>
        <w:t>Değişken maliyet b</w:t>
      </w:r>
      <w:r w:rsidRPr="00D049FF">
        <w:rPr>
          <w:rFonts w:ascii="Times New Roman" w:eastAsia="Calibri" w:hAnsi="Times New Roman"/>
          <w:sz w:val="24"/>
          <w:szCs w:val="24"/>
          <w:lang w:val="tr-TR" w:eastAsia="en-US"/>
        </w:rPr>
        <w:t>ileşeni: Kapasite mekanizmasına dahil olan üretim tesisleri için kaynak tipine özgü olarak belirlenecek birim enerji üretim maliyetini,</w:t>
      </w:r>
    </w:p>
    <w:p w:rsidR="00D049FF" w:rsidRPr="00D049FF" w:rsidRDefault="00D049FF" w:rsidP="00D049FF">
      <w:pPr>
        <w:tabs>
          <w:tab w:val="left" w:pos="851"/>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c)</w:t>
      </w:r>
      <w:r w:rsidRPr="00D049FF">
        <w:rPr>
          <w:rFonts w:ascii="Times New Roman" w:eastAsia="Calibri" w:hAnsi="Times New Roman"/>
          <w:sz w:val="24"/>
          <w:szCs w:val="24"/>
          <w:lang w:val="tr-TR" w:eastAsia="en-US"/>
        </w:rPr>
        <w:tab/>
        <w:t>Fatura dönemi: Uzlaştırma işlemlerini düzenleyen ilgili mevzuat uyarınca belirlenmiş olan fatura dönemini,</w:t>
      </w:r>
    </w:p>
    <w:p w:rsidR="00D049FF" w:rsidRPr="00D049FF" w:rsidRDefault="00D049FF" w:rsidP="00D049FF">
      <w:pPr>
        <w:tabs>
          <w:tab w:val="left" w:pos="851"/>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ç) Gün öncesi piyasası: Bir gün sonrası teslim edilecek uzlaştırma dönemi bazında elektrik enerjisi alış-satış işlemleri için kurulan ve Piyasa İşletmecisi tarafından işletilen organize toptan elektrik piyasasını,</w:t>
      </w:r>
    </w:p>
    <w:p w:rsidR="00D049FF" w:rsidRPr="00D049FF" w:rsidRDefault="00D049FF" w:rsidP="00D049FF">
      <w:pPr>
        <w:tabs>
          <w:tab w:val="left" w:pos="851"/>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d)</w:t>
      </w:r>
      <w:r w:rsidRPr="00D049FF">
        <w:rPr>
          <w:rFonts w:ascii="Times New Roman" w:eastAsia="Calibri" w:hAnsi="Times New Roman"/>
          <w:sz w:val="24"/>
          <w:szCs w:val="24"/>
          <w:lang w:val="tr-TR" w:eastAsia="en-US"/>
        </w:rPr>
        <w:tab/>
        <w:t>Kanun: 6446 Sayılı Elektrik Piyasası Kanununu,</w:t>
      </w:r>
    </w:p>
    <w:p w:rsidR="00D049FF" w:rsidRPr="00D049FF" w:rsidRDefault="00D049FF" w:rsidP="00D049FF">
      <w:pPr>
        <w:tabs>
          <w:tab w:val="left" w:pos="851"/>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e)</w:t>
      </w:r>
      <w:r w:rsidRPr="00D049FF">
        <w:rPr>
          <w:rFonts w:ascii="Times New Roman" w:eastAsia="Calibri" w:hAnsi="Times New Roman"/>
          <w:sz w:val="24"/>
          <w:szCs w:val="24"/>
          <w:lang w:val="tr-TR" w:eastAsia="en-US"/>
        </w:rPr>
        <w:tab/>
        <w:t>Kapasite mekanizması: Elektrik sistemi arz güvenliği ve sistem güvenilirliğinin t</w:t>
      </w:r>
      <w:r>
        <w:rPr>
          <w:rFonts w:ascii="Times New Roman" w:eastAsia="Calibri" w:hAnsi="Times New Roman"/>
          <w:sz w:val="24"/>
          <w:szCs w:val="24"/>
          <w:lang w:val="tr-TR" w:eastAsia="en-US"/>
        </w:rPr>
        <w:t>emini için güvenilir kurulu güç</w:t>
      </w:r>
      <w:r w:rsidRPr="00D049FF">
        <w:rPr>
          <w:rFonts w:ascii="Times New Roman" w:eastAsia="Calibri" w:hAnsi="Times New Roman"/>
          <w:sz w:val="24"/>
          <w:szCs w:val="24"/>
          <w:lang w:val="tr-TR" w:eastAsia="en-US"/>
        </w:rPr>
        <w:t xml:space="preserve"> kapasitesinin oluşturulması veya korunması amacıyla Sistem İşletmecisi tarafından yıllık olarak işletilen destek mekanizmasını,</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f)</w:t>
      </w:r>
      <w:r w:rsidRPr="00D049FF">
        <w:rPr>
          <w:rFonts w:ascii="Times New Roman" w:eastAsia="Calibri" w:hAnsi="Times New Roman"/>
          <w:sz w:val="24"/>
          <w:szCs w:val="24"/>
          <w:lang w:val="tr-TR" w:eastAsia="en-US"/>
        </w:rPr>
        <w:tab/>
        <w:t>Kapasite ödemesi: Yıllık olarak belirlenen bütçe dahilinde, iletim sistemi arz güvenliğini teminen üretim tesislerine yapılan ödemeleri,</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lastRenderedPageBreak/>
        <w:t>g)</w:t>
      </w:r>
      <w:r w:rsidRPr="00D049FF">
        <w:rPr>
          <w:rFonts w:ascii="Times New Roman" w:eastAsia="Calibri" w:hAnsi="Times New Roman"/>
          <w:sz w:val="24"/>
          <w:szCs w:val="24"/>
          <w:lang w:val="tr-TR" w:eastAsia="en-US"/>
        </w:rPr>
        <w:tab/>
        <w:t>Kurul: Enerji Piyasası Düzenleme Kurulunu,</w:t>
      </w:r>
    </w:p>
    <w:p w:rsidR="00D049FF" w:rsidRPr="00D049FF" w:rsidRDefault="00D049FF" w:rsidP="00D049FF">
      <w:pPr>
        <w:tabs>
          <w:tab w:val="left" w:pos="851"/>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ğ)</w:t>
      </w:r>
      <w:r w:rsidRPr="00D049FF">
        <w:rPr>
          <w:rFonts w:ascii="Times New Roman" w:eastAsia="Calibri" w:hAnsi="Times New Roman"/>
          <w:sz w:val="24"/>
          <w:szCs w:val="24"/>
          <w:lang w:val="tr-TR" w:eastAsia="en-US"/>
        </w:rPr>
        <w:tab/>
        <w:t>Kurum: Enerji Piyasası Düzenleme Kurumunu,</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h)</w:t>
      </w:r>
      <w:r w:rsidRPr="00D049FF">
        <w:rPr>
          <w:rFonts w:ascii="Times New Roman" w:eastAsia="Calibri" w:hAnsi="Times New Roman"/>
          <w:sz w:val="24"/>
          <w:szCs w:val="24"/>
          <w:lang w:val="tr-TR" w:eastAsia="en-US"/>
        </w:rPr>
        <w:tab/>
        <w:t>Nihai piyasa takas fiyatı (NPTF): Belli bir saat ve belli bir teklif bölgesi için, teklif bölgeleri arasındaki iletim kısıtları dikkate alınarak belirlenen saatlik elektrik enerjisi alış-satış fiyatını,</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ı) Organize toptan elektrik piyasaları: Elektrik enerjisi, kapasitesi veya perakende alış satışının gerçekleştirildiği ve piyasa işletim lisansına sahip merkezî bir aracı tüzel kişilik tarafından organize edilip işletilen gün öncesi piyasası, gün içi piyasası ile sermaye piyasası aracı niteliğindeki standardize edilmiş elektrik sözleşmelerinin ve dayanağı elektrik enerjisi ve/veya kapasitesi olan türev ürünlerin işlem gördüğü ve Borsa İstanbul Anonim Şirketi tarafından işletilen piyasaları ve Türkiye Elektrik İletim Anonim Şirketi tarafından organize edilip işletilen dengeleme güç piyasası ve yan hizmetler piyasası gibi elektrik piyasalarını,</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i)</w:t>
      </w:r>
      <w:r w:rsidRPr="00D049FF">
        <w:rPr>
          <w:rFonts w:ascii="Times New Roman" w:eastAsia="Calibri" w:hAnsi="Times New Roman"/>
          <w:sz w:val="24"/>
          <w:szCs w:val="24"/>
          <w:lang w:val="tr-TR" w:eastAsia="en-US"/>
        </w:rPr>
        <w:tab/>
        <w:t>Sabit maliyet bileşeni: Kapasite mekanizması kapsamında ödeme yapılacak üretim tesislerinin sistemde kalabilmeleri için ihtiyaç duyduğu, üretim tesisi kaynak türüne özgü olarak belirlenen maliyeti,</w:t>
      </w:r>
    </w:p>
    <w:p w:rsidR="00D049FF" w:rsidRPr="00D049FF" w:rsidRDefault="00D049FF" w:rsidP="00D049FF">
      <w:pPr>
        <w:tabs>
          <w:tab w:val="left" w:pos="851"/>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j) Sistem İşletmecisi: Türkiye Elektrik İletim Anonim Şirketini,</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k)</w:t>
      </w:r>
      <w:r w:rsidRPr="00D049FF">
        <w:rPr>
          <w:rFonts w:ascii="Times New Roman" w:eastAsia="Calibri" w:hAnsi="Times New Roman"/>
          <w:sz w:val="24"/>
          <w:szCs w:val="24"/>
          <w:lang w:val="tr-TR" w:eastAsia="en-US"/>
        </w:rPr>
        <w:tab/>
        <w:t>Toplam maliyet bileşeni: Kapasite mekanizmasına dahil olan üretim tesisleri için, sabit ve değişken maliyet bileşenlerinin toplamından oluşan tutarı,</w:t>
      </w:r>
    </w:p>
    <w:p w:rsidR="00D049FF" w:rsidRPr="00D049FF" w:rsidRDefault="00D049FF" w:rsidP="00D049FF">
      <w:pPr>
        <w:tabs>
          <w:tab w:val="left" w:pos="993"/>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l</w:t>
      </w:r>
      <w:r>
        <w:rPr>
          <w:rFonts w:ascii="Times New Roman" w:eastAsia="Calibri" w:hAnsi="Times New Roman"/>
          <w:sz w:val="24"/>
          <w:szCs w:val="24"/>
          <w:lang w:val="tr-TR" w:eastAsia="en-US"/>
        </w:rPr>
        <w:t xml:space="preserve">) </w:t>
      </w:r>
      <w:r w:rsidRPr="00D049FF">
        <w:rPr>
          <w:rFonts w:ascii="Times New Roman" w:eastAsia="Calibri" w:hAnsi="Times New Roman"/>
          <w:sz w:val="24"/>
          <w:szCs w:val="24"/>
          <w:lang w:val="tr-TR" w:eastAsia="en-US"/>
        </w:rPr>
        <w:t xml:space="preserve">YEKDEM: </w:t>
      </w:r>
      <w:r>
        <w:rPr>
          <w:rFonts w:ascii="Times New Roman" w:eastAsia="Calibri" w:hAnsi="Times New Roman"/>
          <w:sz w:val="24"/>
          <w:szCs w:val="24"/>
          <w:lang w:val="tr-TR" w:eastAsia="en-US"/>
        </w:rPr>
        <w:t xml:space="preserve">10/5/2005 tarihli ve </w:t>
      </w:r>
      <w:r w:rsidRPr="00D049FF">
        <w:rPr>
          <w:rFonts w:ascii="Times New Roman" w:eastAsia="Calibri" w:hAnsi="Times New Roman"/>
          <w:sz w:val="24"/>
          <w:szCs w:val="24"/>
          <w:lang w:val="tr-TR" w:eastAsia="en-US"/>
        </w:rPr>
        <w:t>5346 sayılı Yenilenebilir Enerji Kaynaklarının Elektrik Enerjisi Üretimi Amaçlı Kullanımına İlişkin Kanun uyarınca işletilen destekleme mekanizmasını,</w:t>
      </w:r>
    </w:p>
    <w:p w:rsidR="00D049FF" w:rsidRPr="00D049FF" w:rsidRDefault="00D049FF" w:rsidP="00EE7B8D">
      <w:pPr>
        <w:tabs>
          <w:tab w:val="left" w:pos="851"/>
          <w:tab w:val="left" w:pos="993"/>
          <w:tab w:val="left" w:pos="1276"/>
        </w:tabs>
        <w:spacing w:after="160" w:line="259" w:lineRule="auto"/>
        <w:ind w:firstLine="709"/>
        <w:jc w:val="both"/>
        <w:rPr>
          <w:rFonts w:ascii="Times New Roman" w:eastAsia="Calibri" w:hAnsi="Times New Roman"/>
          <w:sz w:val="24"/>
          <w:szCs w:val="24"/>
          <w:lang w:val="tr-TR" w:eastAsia="en-US"/>
        </w:rPr>
      </w:pPr>
      <w:r w:rsidRPr="00D049FF">
        <w:rPr>
          <w:rFonts w:ascii="Times New Roman" w:eastAsia="Calibri" w:hAnsi="Times New Roman"/>
          <w:sz w:val="24"/>
          <w:szCs w:val="24"/>
          <w:lang w:val="tr-TR" w:eastAsia="en-US"/>
        </w:rPr>
        <w:t>m)</w:t>
      </w:r>
      <w:r w:rsidRPr="00D049FF">
        <w:rPr>
          <w:rFonts w:ascii="Times New Roman" w:eastAsia="Calibri" w:hAnsi="Times New Roman"/>
          <w:sz w:val="24"/>
          <w:szCs w:val="24"/>
          <w:lang w:val="tr-TR" w:eastAsia="en-US"/>
        </w:rPr>
        <w:tab/>
        <w:t>Yerli kaynak: Yenilenebilir enerji kaynakları ile ülke içinde üretilen fosil yakıt kaynaklarını</w:t>
      </w:r>
    </w:p>
    <w:p w:rsidR="00A27563" w:rsidRPr="001F6006" w:rsidRDefault="00A27563" w:rsidP="00EE7B8D">
      <w:pPr>
        <w:pStyle w:val="ListeParagraf"/>
        <w:tabs>
          <w:tab w:val="left" w:pos="709"/>
        </w:tabs>
        <w:spacing w:line="240" w:lineRule="auto"/>
        <w:jc w:val="both"/>
        <w:rPr>
          <w:rFonts w:ascii="Times New Roman" w:hAnsi="Times New Roman"/>
          <w:bCs/>
          <w:sz w:val="24"/>
          <w:szCs w:val="24"/>
          <w:lang w:val="tr-TR"/>
        </w:rPr>
      </w:pPr>
      <w:r w:rsidRPr="001F6006">
        <w:rPr>
          <w:rFonts w:ascii="Times New Roman" w:hAnsi="Times New Roman"/>
          <w:bCs/>
          <w:sz w:val="24"/>
          <w:szCs w:val="24"/>
          <w:lang w:val="tr-TR"/>
        </w:rPr>
        <w:t xml:space="preserve">ifade eder. </w:t>
      </w:r>
    </w:p>
    <w:p w:rsidR="002374C4" w:rsidRPr="001F6006" w:rsidRDefault="002374C4" w:rsidP="00A27563">
      <w:pPr>
        <w:pStyle w:val="ListeParagraf"/>
        <w:tabs>
          <w:tab w:val="left" w:pos="566"/>
        </w:tabs>
        <w:spacing w:after="0" w:line="240" w:lineRule="auto"/>
        <w:jc w:val="both"/>
        <w:rPr>
          <w:rFonts w:ascii="Times New Roman" w:eastAsia="ヒラギノ明朝 Pro W3" w:hAnsi="Times New Roman"/>
          <w:sz w:val="24"/>
          <w:szCs w:val="24"/>
          <w:lang w:val="tr-TR" w:eastAsia="en-US"/>
        </w:rPr>
      </w:pPr>
    </w:p>
    <w:p w:rsidR="00A27563" w:rsidRPr="001F6006" w:rsidRDefault="00A27563" w:rsidP="00A27563">
      <w:pPr>
        <w:tabs>
          <w:tab w:val="left" w:pos="566"/>
        </w:tabs>
        <w:spacing w:after="0" w:line="240" w:lineRule="auto"/>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ab/>
        <w:t>(2) Bu Yönetmelikte geçmekle birlikte tanımlanmamış diğer ifade ve kısaltmalar, ilgili mevzuattaki anlama ve kapsama sahiptir.</w:t>
      </w:r>
    </w:p>
    <w:p w:rsidR="00A27563" w:rsidRPr="001F6006" w:rsidRDefault="00A27563" w:rsidP="00A27563">
      <w:pPr>
        <w:spacing w:before="56" w:after="0" w:line="240" w:lineRule="auto"/>
        <w:jc w:val="center"/>
        <w:rPr>
          <w:rFonts w:ascii="Times New Roman" w:eastAsia="ヒラギノ明朝 Pro W3" w:hAnsi="Times New Roman"/>
          <w:b/>
          <w:bCs/>
          <w:sz w:val="24"/>
          <w:szCs w:val="24"/>
          <w:lang w:val="tr-TR" w:eastAsia="en-US"/>
        </w:rPr>
      </w:pPr>
    </w:p>
    <w:p w:rsidR="00D049FF" w:rsidRDefault="00D049FF" w:rsidP="00A27563">
      <w:pPr>
        <w:spacing w:before="56" w:after="0" w:line="240" w:lineRule="auto"/>
        <w:jc w:val="center"/>
        <w:rPr>
          <w:rFonts w:ascii="Times New Roman" w:eastAsia="ヒラギノ明朝 Pro W3" w:hAnsi="Times New Roman"/>
          <w:b/>
          <w:bCs/>
          <w:sz w:val="24"/>
          <w:szCs w:val="24"/>
          <w:lang w:val="tr-TR" w:eastAsia="en-US"/>
        </w:rPr>
      </w:pPr>
    </w:p>
    <w:p w:rsidR="00A27563" w:rsidRPr="001F6006" w:rsidRDefault="00A27563" w:rsidP="00A27563">
      <w:pPr>
        <w:spacing w:before="56" w:after="0" w:line="240" w:lineRule="auto"/>
        <w:jc w:val="center"/>
        <w:rPr>
          <w:rFonts w:ascii="Times New Roman" w:eastAsia="ヒラギノ明朝 Pro W3" w:hAnsi="Times New Roman"/>
          <w:b/>
          <w:bCs/>
          <w:sz w:val="24"/>
          <w:szCs w:val="24"/>
          <w:lang w:val="tr-TR" w:eastAsia="en-US"/>
        </w:rPr>
      </w:pPr>
      <w:r w:rsidRPr="001F6006">
        <w:rPr>
          <w:rFonts w:ascii="Times New Roman" w:eastAsia="ヒラギノ明朝 Pro W3" w:hAnsi="Times New Roman"/>
          <w:b/>
          <w:bCs/>
          <w:sz w:val="24"/>
          <w:szCs w:val="24"/>
          <w:lang w:val="tr-TR" w:eastAsia="en-US"/>
        </w:rPr>
        <w:t>İKİNCİ BÖLÜM</w:t>
      </w:r>
    </w:p>
    <w:p w:rsidR="00A27563" w:rsidRPr="001F6006" w:rsidRDefault="00D049FF" w:rsidP="00A27563">
      <w:pPr>
        <w:spacing w:before="56" w:after="0" w:line="240" w:lineRule="auto"/>
        <w:jc w:val="center"/>
        <w:rPr>
          <w:rFonts w:ascii="Times New Roman" w:eastAsia="ヒラギノ明朝 Pro W3" w:hAnsi="Times New Roman"/>
          <w:b/>
          <w:bCs/>
          <w:sz w:val="24"/>
          <w:szCs w:val="24"/>
          <w:lang w:val="tr-TR" w:eastAsia="en-US"/>
        </w:rPr>
      </w:pPr>
      <w:r w:rsidRPr="001F6006">
        <w:rPr>
          <w:rFonts w:ascii="Times New Roman" w:eastAsia="ヒラギノ明朝 Pro W3" w:hAnsi="Times New Roman"/>
          <w:b/>
          <w:bCs/>
          <w:sz w:val="24"/>
          <w:szCs w:val="24"/>
          <w:lang w:val="tr-TR" w:eastAsia="en-US"/>
        </w:rPr>
        <w:t xml:space="preserve">Kapasite Mekanizmasına İlişkin Genel Esaslar </w:t>
      </w:r>
      <w:r>
        <w:rPr>
          <w:rFonts w:ascii="Times New Roman" w:eastAsia="ヒラギノ明朝 Pro W3" w:hAnsi="Times New Roman"/>
          <w:b/>
          <w:bCs/>
          <w:sz w:val="24"/>
          <w:szCs w:val="24"/>
          <w:lang w:val="tr-TR" w:eastAsia="en-US"/>
        </w:rPr>
        <w:t>v</w:t>
      </w:r>
      <w:r w:rsidRPr="001F6006">
        <w:rPr>
          <w:rFonts w:ascii="Times New Roman" w:eastAsia="ヒラギノ明朝 Pro W3" w:hAnsi="Times New Roman"/>
          <w:b/>
          <w:bCs/>
          <w:sz w:val="24"/>
          <w:szCs w:val="24"/>
          <w:lang w:val="tr-TR" w:eastAsia="en-US"/>
        </w:rPr>
        <w:t>e Katılım Şartları</w:t>
      </w:r>
    </w:p>
    <w:p w:rsidR="00A27563" w:rsidRPr="001F6006" w:rsidRDefault="00A27563" w:rsidP="00A27563">
      <w:pPr>
        <w:pStyle w:val="Madde"/>
        <w:spacing w:before="0"/>
        <w:ind w:firstLine="0"/>
        <w:rPr>
          <w:color w:val="auto"/>
        </w:rPr>
      </w:pPr>
    </w:p>
    <w:p w:rsidR="00A27563" w:rsidRPr="001F6006" w:rsidRDefault="00A27563" w:rsidP="00A27563">
      <w:pPr>
        <w:pStyle w:val="Madde"/>
        <w:spacing w:before="0"/>
        <w:rPr>
          <w:color w:val="auto"/>
        </w:rPr>
      </w:pPr>
      <w:r w:rsidRPr="001F6006">
        <w:rPr>
          <w:color w:val="auto"/>
        </w:rPr>
        <w:t xml:space="preserve">Kapasite </w:t>
      </w:r>
      <w:r w:rsidR="00D049FF">
        <w:rPr>
          <w:color w:val="auto"/>
        </w:rPr>
        <w:t>m</w:t>
      </w:r>
      <w:r w:rsidRPr="001F6006">
        <w:rPr>
          <w:color w:val="auto"/>
        </w:rPr>
        <w:t xml:space="preserve">ekanizmasına </w:t>
      </w:r>
      <w:r w:rsidR="00D049FF">
        <w:rPr>
          <w:color w:val="auto"/>
        </w:rPr>
        <w:t>i</w:t>
      </w:r>
      <w:r w:rsidRPr="001F6006">
        <w:rPr>
          <w:color w:val="auto"/>
        </w:rPr>
        <w:t xml:space="preserve">lişkin </w:t>
      </w:r>
      <w:r w:rsidR="00D049FF" w:rsidRPr="001F6006">
        <w:rPr>
          <w:color w:val="auto"/>
        </w:rPr>
        <w:t>genel esaslar</w:t>
      </w:r>
    </w:p>
    <w:p w:rsidR="00A27563" w:rsidRPr="001F6006" w:rsidRDefault="00A27563" w:rsidP="00A27563">
      <w:pPr>
        <w:pStyle w:val="Madde"/>
        <w:spacing w:before="0"/>
        <w:rPr>
          <w:b w:val="0"/>
          <w:color w:val="auto"/>
        </w:rPr>
      </w:pPr>
      <w:r w:rsidRPr="001F6006">
        <w:rPr>
          <w:color w:val="auto"/>
        </w:rPr>
        <w:t>MADDE 5-</w:t>
      </w:r>
      <w:r w:rsidRPr="001F6006">
        <w:rPr>
          <w:b w:val="0"/>
          <w:color w:val="auto"/>
        </w:rPr>
        <w:t xml:space="preserve"> (1) Sistem İşletmecisi, elektrik piyasasında arz güvenliğinin temini için gerekli yedek kapasite de dâhil olmak üzere yeterli kurulu güç kapasitesinin oluşturulması ve/veya muhafazası için yıllık olarak belirlenen bütçe dahilinde üretim lisansı sahibi tüzel kişilere kapasite ödemesi yapar.</w:t>
      </w:r>
    </w:p>
    <w:p w:rsidR="00A27563" w:rsidRPr="001F6006" w:rsidRDefault="00A27563" w:rsidP="00770E96">
      <w:pPr>
        <w:pStyle w:val="Madde"/>
        <w:rPr>
          <w:b w:val="0"/>
          <w:color w:val="auto"/>
        </w:rPr>
      </w:pPr>
      <w:r w:rsidRPr="001F6006">
        <w:rPr>
          <w:b w:val="0"/>
          <w:color w:val="auto"/>
        </w:rPr>
        <w:t>(2) Kapasite mekanizmasına dahil olan üretim tesislerine yapılan kapasite ödemeleri, birim sabit ve değişken maliyet bileşenleri ile nihai piyasa takas fiyatı parametrel</w:t>
      </w:r>
      <w:r w:rsidR="00770E96" w:rsidRPr="001F6006">
        <w:rPr>
          <w:b w:val="0"/>
          <w:color w:val="auto"/>
        </w:rPr>
        <w:t>erinden hareketle belirlenir.</w:t>
      </w:r>
      <w:r w:rsidRPr="001F6006">
        <w:rPr>
          <w:b w:val="0"/>
          <w:color w:val="auto"/>
        </w:rPr>
        <w:t xml:space="preserve"> </w:t>
      </w:r>
    </w:p>
    <w:p w:rsidR="00A27563" w:rsidRPr="001F6006" w:rsidRDefault="00A27563" w:rsidP="00A27563">
      <w:pPr>
        <w:pStyle w:val="Madde"/>
        <w:rPr>
          <w:b w:val="0"/>
          <w:color w:val="auto"/>
        </w:rPr>
      </w:pPr>
      <w:r w:rsidRPr="001F6006">
        <w:rPr>
          <w:b w:val="0"/>
          <w:color w:val="auto"/>
        </w:rPr>
        <w:lastRenderedPageBreak/>
        <w:t xml:space="preserve">(3) Kapasite mekanizması kapsamında bir takvim yılı için belirlenen bütçe ilgili yılın iletim tarifesi hesaplamalarında dikkate alınır. </w:t>
      </w:r>
      <w:r w:rsidR="0080113C" w:rsidRPr="001F6006">
        <w:rPr>
          <w:b w:val="0"/>
          <w:color w:val="auto"/>
        </w:rPr>
        <w:t>İletim tarifelerinde dikkate alınan bütçenin kullanılmayan kısmı iletim tarifelerine ilişkin mevzuat kapsamında gelir düzeltmelerinde dikkate alınır.</w:t>
      </w:r>
    </w:p>
    <w:p w:rsidR="00A27563" w:rsidRPr="001F6006" w:rsidRDefault="00A27563" w:rsidP="00A27563">
      <w:pPr>
        <w:pStyle w:val="Madde"/>
        <w:spacing w:before="0"/>
        <w:ind w:left="708" w:firstLine="12"/>
        <w:rPr>
          <w:color w:val="auto"/>
        </w:rPr>
      </w:pPr>
    </w:p>
    <w:p w:rsidR="00A27563" w:rsidRPr="001F6006" w:rsidRDefault="00A27563" w:rsidP="00A27563">
      <w:pPr>
        <w:pStyle w:val="Madde"/>
        <w:spacing w:before="0"/>
        <w:ind w:left="708" w:firstLine="12"/>
        <w:rPr>
          <w:color w:val="auto"/>
        </w:rPr>
      </w:pPr>
      <w:r w:rsidRPr="001F6006">
        <w:rPr>
          <w:color w:val="auto"/>
        </w:rPr>
        <w:t xml:space="preserve">Kapasite </w:t>
      </w:r>
      <w:r w:rsidR="00D049FF" w:rsidRPr="001F6006">
        <w:rPr>
          <w:color w:val="auto"/>
        </w:rPr>
        <w:t>mekanizmasına katılım şartları</w:t>
      </w:r>
    </w:p>
    <w:p w:rsidR="000A7094" w:rsidRPr="001F6006" w:rsidRDefault="00A27563" w:rsidP="002374C4">
      <w:pPr>
        <w:pStyle w:val="Madde"/>
        <w:spacing w:before="0"/>
        <w:rPr>
          <w:b w:val="0"/>
          <w:color w:val="auto"/>
        </w:rPr>
      </w:pPr>
      <w:r w:rsidRPr="001F6006">
        <w:rPr>
          <w:color w:val="auto"/>
        </w:rPr>
        <w:t xml:space="preserve">MADDE 6- </w:t>
      </w:r>
      <w:r w:rsidR="000A7094" w:rsidRPr="001F6006">
        <w:rPr>
          <w:b w:val="0"/>
          <w:color w:val="auto"/>
        </w:rPr>
        <w:t xml:space="preserve">(1) Bir sonraki takvim yılında kapasite mekanizmasından yararlanmak isteyen santral sahibi tüzel kişiler her bir santral için en geç Ekim ayının onbeşinci gününe kadar Sistem </w:t>
      </w:r>
      <w:r w:rsidR="003A740D" w:rsidRPr="001F6006">
        <w:rPr>
          <w:b w:val="0"/>
          <w:color w:val="auto"/>
        </w:rPr>
        <w:t>İ</w:t>
      </w:r>
      <w:r w:rsidR="000A7094" w:rsidRPr="001F6006">
        <w:rPr>
          <w:b w:val="0"/>
          <w:color w:val="auto"/>
        </w:rPr>
        <w:t xml:space="preserve">şletmecisine başvurur. </w:t>
      </w:r>
      <w:r w:rsidR="00C573E0" w:rsidRPr="001F6006">
        <w:rPr>
          <w:b w:val="0"/>
          <w:color w:val="auto"/>
        </w:rPr>
        <w:t>Başvuru sırasında Sistem İşletmecisi tarafından hazırlanan başvuru formu il</w:t>
      </w:r>
      <w:r w:rsidR="00454179" w:rsidRPr="001F6006">
        <w:rPr>
          <w:b w:val="0"/>
          <w:color w:val="auto"/>
        </w:rPr>
        <w:t>e üretim tesislerinin kapasite mekanizmasından yararlanmak üzere gerekli şartları haiz olduğunu tevsik eden belgeler Sistem İşletmecisine sunulur. Sistem İşletmecisi yapılan başvuruları değerlendirerek bir sonraki takvim yılında kapasite mekanizmasından yararlanacak tesisleri en geç Ekim ayının son günü internet sitesinden duyurur ve Kuruma bildirir.</w:t>
      </w:r>
    </w:p>
    <w:p w:rsidR="000A7094" w:rsidRPr="001F6006" w:rsidRDefault="000A7094" w:rsidP="002374C4">
      <w:pPr>
        <w:pStyle w:val="Madde"/>
        <w:spacing w:before="0"/>
        <w:rPr>
          <w:color w:val="auto"/>
        </w:rPr>
      </w:pPr>
    </w:p>
    <w:p w:rsidR="00A27563" w:rsidRPr="001F6006" w:rsidRDefault="00A27563" w:rsidP="00105211">
      <w:pPr>
        <w:pStyle w:val="Madde"/>
        <w:spacing w:before="0"/>
        <w:rPr>
          <w:color w:val="auto"/>
        </w:rPr>
      </w:pPr>
      <w:r w:rsidRPr="001F6006">
        <w:rPr>
          <w:b w:val="0"/>
          <w:color w:val="auto"/>
        </w:rPr>
        <w:t>(</w:t>
      </w:r>
      <w:r w:rsidR="000A7094" w:rsidRPr="001F6006">
        <w:rPr>
          <w:b w:val="0"/>
          <w:color w:val="auto"/>
        </w:rPr>
        <w:t>2</w:t>
      </w:r>
      <w:r w:rsidRPr="001F6006">
        <w:rPr>
          <w:b w:val="0"/>
          <w:color w:val="auto"/>
        </w:rPr>
        <w:t>)</w:t>
      </w:r>
      <w:r w:rsidRPr="001F6006">
        <w:rPr>
          <w:color w:val="auto"/>
        </w:rPr>
        <w:t xml:space="preserve"> </w:t>
      </w:r>
      <w:r w:rsidRPr="001F6006">
        <w:rPr>
          <w:b w:val="0"/>
          <w:color w:val="auto"/>
        </w:rPr>
        <w:t>Aşağıdaki kriterlerden en az birini taşıyan santraller kapasite mekanizmasında yer almaz:</w:t>
      </w:r>
    </w:p>
    <w:p w:rsidR="00A27563" w:rsidRPr="001F6006" w:rsidRDefault="00770E96" w:rsidP="00D049FF">
      <w:pPr>
        <w:pStyle w:val="ListeParagraf"/>
        <w:numPr>
          <w:ilvl w:val="0"/>
          <w:numId w:val="4"/>
        </w:numPr>
        <w:tabs>
          <w:tab w:val="left" w:pos="993"/>
        </w:tabs>
        <w:spacing w:after="0" w:line="240" w:lineRule="auto"/>
        <w:ind w:hanging="11"/>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 xml:space="preserve">Kamu payının yüzde elliyi aştığı </w:t>
      </w:r>
      <w:r w:rsidR="00A27563" w:rsidRPr="001F6006">
        <w:rPr>
          <w:rFonts w:ascii="Times New Roman" w:eastAsia="ヒラギノ明朝 Pro W3" w:hAnsi="Times New Roman"/>
          <w:sz w:val="24"/>
          <w:szCs w:val="24"/>
          <w:lang w:val="tr-TR" w:eastAsia="en-US"/>
        </w:rPr>
        <w:t xml:space="preserve">santraller, </w:t>
      </w:r>
    </w:p>
    <w:p w:rsidR="00770E96" w:rsidRPr="001F6006" w:rsidRDefault="00770E96" w:rsidP="00D049FF">
      <w:pPr>
        <w:pStyle w:val="ListeParagraf"/>
        <w:numPr>
          <w:ilvl w:val="0"/>
          <w:numId w:val="4"/>
        </w:numPr>
        <w:tabs>
          <w:tab w:val="left" w:pos="993"/>
        </w:tabs>
        <w:spacing w:after="0" w:line="240" w:lineRule="auto"/>
        <w:ind w:left="0" w:firstLine="709"/>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Yap işlet ve yap işlet devret sözleşmesi bulunan ve anlaşma süresi dolmuş olsa da bu anlaşmalar kapsamında faaliyette bulunan/bulunmuş olan santraller,</w:t>
      </w:r>
    </w:p>
    <w:p w:rsidR="00EE7B8D" w:rsidRPr="00105211" w:rsidRDefault="003A740D" w:rsidP="00EE7B8D">
      <w:pPr>
        <w:pStyle w:val="ListeParagraf"/>
        <w:numPr>
          <w:ilvl w:val="0"/>
          <w:numId w:val="4"/>
        </w:numPr>
        <w:tabs>
          <w:tab w:val="left" w:pos="851"/>
          <w:tab w:val="left" w:pos="993"/>
        </w:tabs>
        <w:spacing w:after="0" w:line="240" w:lineRule="auto"/>
        <w:ind w:left="0" w:firstLine="709"/>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K</w:t>
      </w:r>
      <w:r w:rsidR="00770E96" w:rsidRPr="001F6006">
        <w:rPr>
          <w:rFonts w:ascii="Times New Roman" w:eastAsia="ヒラギノ明朝 Pro W3" w:hAnsi="Times New Roman"/>
          <w:sz w:val="24"/>
          <w:szCs w:val="24"/>
          <w:lang w:val="tr-TR" w:eastAsia="en-US"/>
        </w:rPr>
        <w:t>anunun “Özelleştirme” başlıklı 18 inci maddesinin beşinci fıkrası kapsamında yapılan</w:t>
      </w:r>
      <w:r w:rsidR="00DF3D76" w:rsidRPr="001F6006">
        <w:rPr>
          <w:rFonts w:ascii="Times New Roman" w:eastAsia="ヒラギノ明朝 Pro W3" w:hAnsi="Times New Roman"/>
          <w:sz w:val="24"/>
          <w:szCs w:val="24"/>
          <w:lang w:val="tr-TR" w:eastAsia="en-US"/>
        </w:rPr>
        <w:t xml:space="preserve"> özelleştirme ihalesini kazanmak suretiyle kurulan santraller,</w:t>
      </w:r>
    </w:p>
    <w:p w:rsidR="00DF3D76" w:rsidRPr="00EE7B8D" w:rsidRDefault="00D049FF" w:rsidP="00EE7B8D">
      <w:pPr>
        <w:spacing w:after="0" w:line="240" w:lineRule="auto"/>
        <w:ind w:left="360" w:firstLine="349"/>
        <w:jc w:val="both"/>
        <w:rPr>
          <w:rFonts w:ascii="Times New Roman" w:eastAsia="ヒラギノ明朝 Pro W3" w:hAnsi="Times New Roman"/>
          <w:sz w:val="24"/>
          <w:szCs w:val="24"/>
          <w:lang w:val="tr-TR" w:eastAsia="en-US"/>
        </w:rPr>
      </w:pPr>
      <w:r>
        <w:rPr>
          <w:rFonts w:ascii="Times New Roman" w:eastAsia="ヒラギノ明朝 Pro W3" w:hAnsi="Times New Roman"/>
          <w:sz w:val="24"/>
          <w:szCs w:val="24"/>
          <w:lang w:val="tr-TR" w:eastAsia="en-US"/>
        </w:rPr>
        <w:t xml:space="preserve">ç)   </w:t>
      </w:r>
      <w:r w:rsidR="00DF3D76" w:rsidRPr="00EE7B8D">
        <w:rPr>
          <w:rFonts w:ascii="Times New Roman" w:eastAsia="ヒラギノ明朝 Pro W3" w:hAnsi="Times New Roman"/>
          <w:sz w:val="24"/>
          <w:szCs w:val="24"/>
          <w:lang w:val="tr-TR" w:eastAsia="en-US"/>
        </w:rPr>
        <w:t xml:space="preserve">Uluslararası sözleşmeler kapsamında kurulan nükleer enerji üretim </w:t>
      </w:r>
      <w:r w:rsidR="001B7DA5" w:rsidRPr="00EE7B8D">
        <w:rPr>
          <w:rFonts w:ascii="Times New Roman" w:eastAsia="ヒラギノ明朝 Pro W3" w:hAnsi="Times New Roman"/>
          <w:sz w:val="24"/>
          <w:szCs w:val="24"/>
          <w:lang w:val="tr-TR" w:eastAsia="en-US"/>
        </w:rPr>
        <w:t>santralleri</w:t>
      </w:r>
      <w:r w:rsidR="00DF3D76" w:rsidRPr="00EE7B8D">
        <w:rPr>
          <w:rFonts w:ascii="Times New Roman" w:eastAsia="ヒラギノ明朝 Pro W3" w:hAnsi="Times New Roman"/>
          <w:sz w:val="24"/>
          <w:szCs w:val="24"/>
          <w:lang w:val="tr-TR" w:eastAsia="en-US"/>
        </w:rPr>
        <w:t>,</w:t>
      </w:r>
    </w:p>
    <w:p w:rsidR="00A27563" w:rsidRPr="001F6006" w:rsidRDefault="00A27563" w:rsidP="00D049FF">
      <w:pPr>
        <w:pStyle w:val="ListeParagraf"/>
        <w:numPr>
          <w:ilvl w:val="0"/>
          <w:numId w:val="4"/>
        </w:numPr>
        <w:tabs>
          <w:tab w:val="left" w:pos="1134"/>
        </w:tabs>
        <w:spacing w:after="0" w:line="240" w:lineRule="auto"/>
        <w:ind w:left="0" w:firstLine="709"/>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Teşvik sürelerini tamamlamış olsalar dahi, herhangi bir zamanda YEKDEM</w:t>
      </w:r>
      <w:r w:rsidR="003A740D" w:rsidRPr="001F6006">
        <w:rPr>
          <w:rFonts w:ascii="Times New Roman" w:eastAsia="ヒラギノ明朝 Pro W3" w:hAnsi="Times New Roman"/>
          <w:sz w:val="24"/>
          <w:szCs w:val="24"/>
          <w:lang w:val="tr-TR" w:eastAsia="en-US"/>
        </w:rPr>
        <w:t>’den</w:t>
      </w:r>
      <w:r w:rsidR="007A65F7" w:rsidRPr="001F6006">
        <w:rPr>
          <w:rFonts w:ascii="Times New Roman" w:eastAsia="ヒラギノ明朝 Pro W3" w:hAnsi="Times New Roman"/>
          <w:sz w:val="24"/>
          <w:szCs w:val="24"/>
          <w:lang w:val="tr-TR" w:eastAsia="en-US"/>
        </w:rPr>
        <w:t xml:space="preserve"> </w:t>
      </w:r>
      <w:r w:rsidRPr="001F6006">
        <w:rPr>
          <w:rFonts w:ascii="Times New Roman" w:eastAsia="ヒラギノ明朝 Pro W3" w:hAnsi="Times New Roman"/>
          <w:sz w:val="24"/>
          <w:szCs w:val="24"/>
          <w:lang w:val="tr-TR" w:eastAsia="en-US"/>
        </w:rPr>
        <w:t xml:space="preserve">yararlanan veya yararlanma hakkı bulunan santraller,  </w:t>
      </w:r>
    </w:p>
    <w:p w:rsidR="00A27563" w:rsidRPr="001F6006" w:rsidRDefault="00A27563" w:rsidP="00D049FF">
      <w:pPr>
        <w:pStyle w:val="ListeParagraf"/>
        <w:numPr>
          <w:ilvl w:val="0"/>
          <w:numId w:val="4"/>
        </w:numPr>
        <w:tabs>
          <w:tab w:val="left" w:pos="993"/>
        </w:tabs>
        <w:spacing w:after="0" w:line="240" w:lineRule="auto"/>
        <w:ind w:hanging="11"/>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Bu Yönetmeliğin yürürlük tarihinden sonra özelleştirme ihalesi yapılan santraller,</w:t>
      </w:r>
    </w:p>
    <w:p w:rsidR="00A27563" w:rsidRPr="001F6006" w:rsidRDefault="00A27563" w:rsidP="00D049FF">
      <w:pPr>
        <w:pStyle w:val="ListeParagraf"/>
        <w:numPr>
          <w:ilvl w:val="0"/>
          <w:numId w:val="4"/>
        </w:numPr>
        <w:tabs>
          <w:tab w:val="left" w:pos="851"/>
          <w:tab w:val="left" w:pos="993"/>
        </w:tabs>
        <w:spacing w:after="0" w:line="240" w:lineRule="auto"/>
        <w:ind w:left="0" w:firstLine="709"/>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 xml:space="preserve">Elektrik kurulu gücü yerli kaynaklara dayalı santraller için </w:t>
      </w:r>
      <w:r w:rsidR="002E71CC" w:rsidRPr="001F6006">
        <w:rPr>
          <w:rFonts w:ascii="Times New Roman" w:eastAsia="ヒラギノ明朝 Pro W3" w:hAnsi="Times New Roman"/>
          <w:sz w:val="24"/>
          <w:szCs w:val="24"/>
          <w:lang w:val="tr-TR" w:eastAsia="en-US"/>
        </w:rPr>
        <w:t>50</w:t>
      </w:r>
      <w:r w:rsidRPr="001F6006">
        <w:rPr>
          <w:rFonts w:ascii="Times New Roman" w:eastAsia="ヒラギノ明朝 Pro W3" w:hAnsi="Times New Roman"/>
          <w:sz w:val="24"/>
          <w:szCs w:val="24"/>
          <w:lang w:val="tr-TR" w:eastAsia="en-US"/>
        </w:rPr>
        <w:t xml:space="preserve"> MW</w:t>
      </w:r>
      <w:r w:rsidR="00CD017B" w:rsidRPr="001F6006">
        <w:rPr>
          <w:rFonts w:ascii="Times New Roman" w:eastAsia="ヒラギノ明朝 Pro W3" w:hAnsi="Times New Roman"/>
          <w:sz w:val="24"/>
          <w:szCs w:val="24"/>
          <w:vertAlign w:val="subscript"/>
          <w:lang w:val="tr-TR" w:eastAsia="en-US"/>
        </w:rPr>
        <w:t>e</w:t>
      </w:r>
      <w:r w:rsidRPr="001F6006">
        <w:rPr>
          <w:rFonts w:ascii="Times New Roman" w:eastAsia="ヒラギノ明朝 Pro W3" w:hAnsi="Times New Roman"/>
          <w:sz w:val="24"/>
          <w:szCs w:val="24"/>
          <w:lang w:val="tr-TR" w:eastAsia="en-US"/>
        </w:rPr>
        <w:t xml:space="preserve">’ın altında, diğer santraller için </w:t>
      </w:r>
      <w:r w:rsidR="002E71CC" w:rsidRPr="001F6006">
        <w:rPr>
          <w:rFonts w:ascii="Times New Roman" w:eastAsia="ヒラギノ明朝 Pro W3" w:hAnsi="Times New Roman"/>
          <w:sz w:val="24"/>
          <w:szCs w:val="24"/>
          <w:lang w:val="tr-TR" w:eastAsia="en-US"/>
        </w:rPr>
        <w:t>100</w:t>
      </w:r>
      <w:r w:rsidRPr="001F6006">
        <w:rPr>
          <w:rFonts w:ascii="Times New Roman" w:eastAsia="ヒラギノ明朝 Pro W3" w:hAnsi="Times New Roman"/>
          <w:sz w:val="24"/>
          <w:szCs w:val="24"/>
          <w:lang w:val="tr-TR" w:eastAsia="en-US"/>
        </w:rPr>
        <w:t xml:space="preserve"> MW</w:t>
      </w:r>
      <w:r w:rsidR="00CD017B" w:rsidRPr="001F6006">
        <w:rPr>
          <w:rFonts w:ascii="Times New Roman" w:eastAsia="ヒラギノ明朝 Pro W3" w:hAnsi="Times New Roman"/>
          <w:sz w:val="24"/>
          <w:szCs w:val="24"/>
          <w:vertAlign w:val="subscript"/>
          <w:lang w:val="tr-TR" w:eastAsia="en-US"/>
        </w:rPr>
        <w:t>e</w:t>
      </w:r>
      <w:r w:rsidRPr="001F6006">
        <w:rPr>
          <w:rFonts w:ascii="Times New Roman" w:eastAsia="ヒラギノ明朝 Pro W3" w:hAnsi="Times New Roman"/>
          <w:sz w:val="24"/>
          <w:szCs w:val="24"/>
          <w:lang w:val="tr-TR" w:eastAsia="en-US"/>
        </w:rPr>
        <w:t xml:space="preserve">’ın altında olan santraller, </w:t>
      </w:r>
    </w:p>
    <w:p w:rsidR="006D7FC5" w:rsidRPr="001F6006" w:rsidRDefault="006D7FC5" w:rsidP="00D049FF">
      <w:pPr>
        <w:pStyle w:val="ListeParagraf"/>
        <w:numPr>
          <w:ilvl w:val="0"/>
          <w:numId w:val="4"/>
        </w:numPr>
        <w:tabs>
          <w:tab w:val="left" w:pos="851"/>
          <w:tab w:val="left" w:pos="1134"/>
        </w:tabs>
        <w:spacing w:after="0" w:line="240" w:lineRule="auto"/>
        <w:ind w:left="0" w:firstLine="709"/>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 xml:space="preserve">İlk ünitesinin geçici kabul tarihinden başlayarak hesaplanan santral yaşı 10 yıldan büyük olan </w:t>
      </w:r>
      <w:r w:rsidR="008F50EB" w:rsidRPr="001F6006">
        <w:rPr>
          <w:rFonts w:ascii="Times New Roman" w:eastAsia="ヒラギノ明朝 Pro W3" w:hAnsi="Times New Roman"/>
          <w:sz w:val="24"/>
          <w:szCs w:val="24"/>
          <w:lang w:val="tr-TR" w:eastAsia="en-US"/>
        </w:rPr>
        <w:t xml:space="preserve">yerli kaynaklara dayalı olmayan </w:t>
      </w:r>
      <w:r w:rsidRPr="001F6006">
        <w:rPr>
          <w:rFonts w:ascii="Times New Roman" w:eastAsia="ヒラギノ明朝 Pro W3" w:hAnsi="Times New Roman"/>
          <w:sz w:val="24"/>
          <w:szCs w:val="24"/>
          <w:lang w:val="tr-TR" w:eastAsia="en-US"/>
        </w:rPr>
        <w:t>santraller,</w:t>
      </w:r>
    </w:p>
    <w:p w:rsidR="0080113C" w:rsidRPr="00EE7B8D" w:rsidRDefault="00D049FF" w:rsidP="00EE7B8D">
      <w:pPr>
        <w:spacing w:after="0" w:line="240" w:lineRule="auto"/>
        <w:ind w:firstLine="709"/>
        <w:jc w:val="both"/>
        <w:rPr>
          <w:rFonts w:ascii="Times New Roman" w:eastAsia="ヒラギノ明朝 Pro W3" w:hAnsi="Times New Roman"/>
          <w:sz w:val="24"/>
          <w:szCs w:val="24"/>
          <w:lang w:val="tr-TR" w:eastAsia="en-US"/>
        </w:rPr>
      </w:pPr>
      <w:r>
        <w:rPr>
          <w:rFonts w:ascii="Times New Roman" w:eastAsia="ヒラギノ明朝 Pro W3" w:hAnsi="Times New Roman"/>
          <w:sz w:val="24"/>
          <w:szCs w:val="24"/>
          <w:lang w:val="tr-TR" w:eastAsia="en-US"/>
        </w:rPr>
        <w:t xml:space="preserve">ğ) </w:t>
      </w:r>
      <w:r w:rsidR="0080113C" w:rsidRPr="00EE7B8D">
        <w:rPr>
          <w:rFonts w:ascii="Times New Roman" w:eastAsia="ヒラギノ明朝 Pro W3" w:hAnsi="Times New Roman"/>
          <w:sz w:val="24"/>
          <w:szCs w:val="24"/>
          <w:lang w:val="tr-TR" w:eastAsia="en-US"/>
        </w:rPr>
        <w:t>Geçici kabu</w:t>
      </w:r>
      <w:r w:rsidR="00061739" w:rsidRPr="00EE7B8D">
        <w:rPr>
          <w:rFonts w:ascii="Times New Roman" w:eastAsia="ヒラギノ明朝 Pro W3" w:hAnsi="Times New Roman"/>
          <w:sz w:val="24"/>
          <w:szCs w:val="24"/>
          <w:lang w:val="tr-TR" w:eastAsia="en-US"/>
        </w:rPr>
        <w:t>lde belirlenen verimlilik oranı</w:t>
      </w:r>
      <w:r w:rsidR="0080113C" w:rsidRPr="00EE7B8D">
        <w:rPr>
          <w:rFonts w:ascii="Times New Roman" w:eastAsia="ヒラギノ明朝 Pro W3" w:hAnsi="Times New Roman"/>
          <w:sz w:val="24"/>
          <w:szCs w:val="24"/>
          <w:lang w:val="tr-TR" w:eastAsia="en-US"/>
        </w:rPr>
        <w:t xml:space="preserve"> % 50’nin altında olan </w:t>
      </w:r>
      <w:r w:rsidR="00061739" w:rsidRPr="00EE7B8D">
        <w:rPr>
          <w:rFonts w:ascii="Times New Roman" w:eastAsia="ヒラギノ明朝 Pro W3" w:hAnsi="Times New Roman"/>
          <w:sz w:val="24"/>
          <w:szCs w:val="24"/>
          <w:lang w:val="tr-TR" w:eastAsia="en-US"/>
        </w:rPr>
        <w:t>yerli</w:t>
      </w:r>
      <w:r w:rsidR="0080113C" w:rsidRPr="00EE7B8D">
        <w:rPr>
          <w:rFonts w:ascii="Times New Roman" w:eastAsia="ヒラギノ明朝 Pro W3" w:hAnsi="Times New Roman"/>
          <w:sz w:val="24"/>
          <w:szCs w:val="24"/>
          <w:lang w:val="tr-TR" w:eastAsia="en-US"/>
        </w:rPr>
        <w:t xml:space="preserve"> kaynaklara dayalı </w:t>
      </w:r>
      <w:r w:rsidR="00061739" w:rsidRPr="00EE7B8D">
        <w:rPr>
          <w:rFonts w:ascii="Times New Roman" w:eastAsia="ヒラギノ明朝 Pro W3" w:hAnsi="Times New Roman"/>
          <w:sz w:val="24"/>
          <w:szCs w:val="24"/>
          <w:lang w:val="tr-TR" w:eastAsia="en-US"/>
        </w:rPr>
        <w:t xml:space="preserve">olmayan </w:t>
      </w:r>
      <w:r w:rsidR="0080113C" w:rsidRPr="00EE7B8D">
        <w:rPr>
          <w:rFonts w:ascii="Times New Roman" w:eastAsia="ヒラギノ明朝 Pro W3" w:hAnsi="Times New Roman"/>
          <w:sz w:val="24"/>
          <w:szCs w:val="24"/>
          <w:lang w:val="tr-TR" w:eastAsia="en-US"/>
        </w:rPr>
        <w:t>santraller (hesaplamada doğalgaz santralleri için üst ısıl değer baz alınır),</w:t>
      </w:r>
    </w:p>
    <w:p w:rsidR="006D7FC5" w:rsidRPr="001F6006" w:rsidRDefault="006D7FC5" w:rsidP="00D049FF">
      <w:pPr>
        <w:pStyle w:val="ListeParagraf"/>
        <w:numPr>
          <w:ilvl w:val="0"/>
          <w:numId w:val="4"/>
        </w:numPr>
        <w:tabs>
          <w:tab w:val="left" w:pos="851"/>
          <w:tab w:val="left" w:pos="1134"/>
        </w:tabs>
        <w:spacing w:after="0" w:line="240" w:lineRule="auto"/>
        <w:ind w:left="0" w:firstLine="709"/>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 xml:space="preserve">Hidroelektrik santralleri ile kesintisiz üretim yapamayan rüzgar ve güneşe dayalı santraller.  </w:t>
      </w:r>
    </w:p>
    <w:p w:rsidR="00A27563" w:rsidRPr="001F6006" w:rsidRDefault="00A27563" w:rsidP="00A27563">
      <w:pPr>
        <w:pStyle w:val="Madde"/>
        <w:spacing w:before="0"/>
        <w:jc w:val="center"/>
        <w:rPr>
          <w:color w:val="auto"/>
        </w:rPr>
      </w:pPr>
    </w:p>
    <w:p w:rsidR="002374C4" w:rsidRPr="001F6006" w:rsidRDefault="002374C4" w:rsidP="00A27563">
      <w:pPr>
        <w:pStyle w:val="Madde"/>
        <w:spacing w:before="0"/>
        <w:jc w:val="center"/>
        <w:rPr>
          <w:color w:val="auto"/>
        </w:rPr>
      </w:pPr>
    </w:p>
    <w:p w:rsidR="00A27563" w:rsidRPr="001F6006" w:rsidRDefault="00A27563" w:rsidP="00A27563">
      <w:pPr>
        <w:pStyle w:val="Madde"/>
        <w:spacing w:before="0"/>
        <w:jc w:val="center"/>
        <w:rPr>
          <w:color w:val="auto"/>
        </w:rPr>
      </w:pPr>
      <w:r w:rsidRPr="001F6006">
        <w:rPr>
          <w:color w:val="auto"/>
        </w:rPr>
        <w:t>ÜÇÜNCÜ BÖLÜM</w:t>
      </w:r>
    </w:p>
    <w:p w:rsidR="00A27563" w:rsidRPr="001F6006" w:rsidRDefault="00D049FF" w:rsidP="00A27563">
      <w:pPr>
        <w:pStyle w:val="Madde"/>
        <w:spacing w:before="0"/>
        <w:jc w:val="center"/>
        <w:rPr>
          <w:color w:val="auto"/>
        </w:rPr>
      </w:pPr>
      <w:r w:rsidRPr="001F6006">
        <w:rPr>
          <w:color w:val="auto"/>
        </w:rPr>
        <w:t>Kapasite Ödemeleri</w:t>
      </w:r>
    </w:p>
    <w:p w:rsidR="00A27563" w:rsidRPr="001F6006" w:rsidRDefault="00A27563" w:rsidP="00A27563">
      <w:pPr>
        <w:pStyle w:val="Madde"/>
        <w:spacing w:before="0"/>
        <w:rPr>
          <w:b w:val="0"/>
          <w:color w:val="auto"/>
        </w:rPr>
      </w:pPr>
    </w:p>
    <w:p w:rsidR="002374C4" w:rsidRPr="001F6006" w:rsidRDefault="002374C4" w:rsidP="002374C4">
      <w:pPr>
        <w:pStyle w:val="Madde"/>
        <w:spacing w:before="0"/>
        <w:rPr>
          <w:color w:val="auto"/>
        </w:rPr>
      </w:pPr>
    </w:p>
    <w:p w:rsidR="002374C4" w:rsidRPr="001F6006" w:rsidRDefault="002374C4" w:rsidP="002374C4">
      <w:pPr>
        <w:pStyle w:val="Madde"/>
        <w:spacing w:before="0"/>
        <w:rPr>
          <w:color w:val="auto"/>
        </w:rPr>
      </w:pPr>
      <w:r w:rsidRPr="001F6006">
        <w:rPr>
          <w:color w:val="auto"/>
        </w:rPr>
        <w:t>K</w:t>
      </w:r>
      <w:r w:rsidR="00A27563" w:rsidRPr="001F6006">
        <w:rPr>
          <w:color w:val="auto"/>
        </w:rPr>
        <w:t xml:space="preserve">apasite </w:t>
      </w:r>
      <w:r w:rsidR="00D049FF" w:rsidRPr="001F6006">
        <w:rPr>
          <w:color w:val="auto"/>
        </w:rPr>
        <w:t>ödemelerine esas bütçe</w:t>
      </w:r>
    </w:p>
    <w:p w:rsidR="00A27563" w:rsidRPr="001F6006" w:rsidRDefault="00A27563" w:rsidP="002374C4">
      <w:pPr>
        <w:pStyle w:val="Madde"/>
        <w:spacing w:before="0"/>
        <w:rPr>
          <w:color w:val="auto"/>
        </w:rPr>
      </w:pPr>
      <w:r w:rsidRPr="001F6006">
        <w:rPr>
          <w:color w:val="auto"/>
        </w:rPr>
        <w:t xml:space="preserve">MADDE </w:t>
      </w:r>
      <w:r w:rsidR="001F4BA5" w:rsidRPr="001F6006">
        <w:rPr>
          <w:color w:val="auto"/>
        </w:rPr>
        <w:t>7</w:t>
      </w:r>
      <w:r w:rsidRPr="001F6006">
        <w:rPr>
          <w:color w:val="auto"/>
        </w:rPr>
        <w:t>-</w:t>
      </w:r>
      <w:r w:rsidRPr="001F6006">
        <w:rPr>
          <w:b w:val="0"/>
          <w:color w:val="auto"/>
        </w:rPr>
        <w:t xml:space="preserve"> (1) Bir sonraki takvim yılında yapılacak kapasite ödemelerine esas yıllık bütçe</w:t>
      </w:r>
      <w:r w:rsidR="00A2110A" w:rsidRPr="001F6006">
        <w:rPr>
          <w:b w:val="0"/>
          <w:color w:val="auto"/>
        </w:rPr>
        <w:t>ye</w:t>
      </w:r>
      <w:r w:rsidRPr="001F6006">
        <w:rPr>
          <w:b w:val="0"/>
          <w:color w:val="auto"/>
        </w:rPr>
        <w:t xml:space="preserve"> </w:t>
      </w:r>
      <w:r w:rsidR="00AA08C4" w:rsidRPr="001F6006">
        <w:rPr>
          <w:b w:val="0"/>
          <w:color w:val="auto"/>
        </w:rPr>
        <w:t xml:space="preserve">ve bütçenin yıl içerisindeki </w:t>
      </w:r>
      <w:r w:rsidR="00A2110A" w:rsidRPr="001F6006">
        <w:rPr>
          <w:b w:val="0"/>
          <w:color w:val="auto"/>
        </w:rPr>
        <w:t xml:space="preserve">fatura dönemlerine </w:t>
      </w:r>
      <w:r w:rsidR="00AA08C4" w:rsidRPr="001F6006">
        <w:rPr>
          <w:b w:val="0"/>
          <w:color w:val="auto"/>
        </w:rPr>
        <w:t>dağılımı</w:t>
      </w:r>
      <w:r w:rsidR="00A2110A" w:rsidRPr="001F6006">
        <w:rPr>
          <w:b w:val="0"/>
          <w:color w:val="auto"/>
        </w:rPr>
        <w:t>na dair</w:t>
      </w:r>
      <w:r w:rsidR="00AA08C4" w:rsidRPr="001F6006">
        <w:rPr>
          <w:b w:val="0"/>
          <w:color w:val="auto"/>
        </w:rPr>
        <w:t xml:space="preserve"> </w:t>
      </w:r>
      <w:r w:rsidRPr="001F6006">
        <w:rPr>
          <w:b w:val="0"/>
          <w:color w:val="auto"/>
        </w:rPr>
        <w:t xml:space="preserve">öneri, </w:t>
      </w:r>
      <w:r w:rsidR="00594816" w:rsidRPr="001F6006">
        <w:rPr>
          <w:b w:val="0"/>
          <w:color w:val="auto"/>
        </w:rPr>
        <w:t xml:space="preserve">Sistem İşletmecisi </w:t>
      </w:r>
      <w:r w:rsidRPr="001F6006">
        <w:rPr>
          <w:b w:val="0"/>
          <w:color w:val="auto"/>
        </w:rPr>
        <w:t>tarafından Ekim ayı sonuna kadar Kuruma sunulur ve Kurul tarafından aynen veya değiştirilerek Kasım ayı içinde onaylanır.</w:t>
      </w:r>
    </w:p>
    <w:p w:rsidR="00A27563" w:rsidRPr="001F6006" w:rsidRDefault="00A27563" w:rsidP="00A27563">
      <w:pPr>
        <w:pStyle w:val="Madde"/>
        <w:rPr>
          <w:b w:val="0"/>
          <w:color w:val="auto"/>
        </w:rPr>
      </w:pPr>
      <w:r w:rsidRPr="001F6006">
        <w:rPr>
          <w:b w:val="0"/>
          <w:color w:val="auto"/>
        </w:rPr>
        <w:t xml:space="preserve">(2) Kapasite ödemelerine esas yıllık </w:t>
      </w:r>
      <w:r w:rsidR="009D6FD6" w:rsidRPr="001F6006">
        <w:rPr>
          <w:b w:val="0"/>
          <w:color w:val="auto"/>
        </w:rPr>
        <w:t xml:space="preserve">ve fatura dönemi bazındaki </w:t>
      </w:r>
      <w:r w:rsidRPr="001F6006">
        <w:rPr>
          <w:b w:val="0"/>
          <w:color w:val="auto"/>
        </w:rPr>
        <w:t>bütçenin belirlenmesinde aşağıdaki kriterler dikkate alınır:</w:t>
      </w:r>
    </w:p>
    <w:p w:rsidR="00A27563" w:rsidRPr="001F6006" w:rsidRDefault="00A27563" w:rsidP="00A27563">
      <w:pPr>
        <w:pStyle w:val="Madde"/>
        <w:spacing w:before="0"/>
        <w:ind w:left="708" w:firstLine="12"/>
        <w:rPr>
          <w:b w:val="0"/>
          <w:color w:val="auto"/>
        </w:rPr>
      </w:pPr>
    </w:p>
    <w:p w:rsidR="00A27563" w:rsidRPr="001F6006" w:rsidRDefault="00A27563" w:rsidP="00A27563">
      <w:pPr>
        <w:pStyle w:val="Madde"/>
        <w:numPr>
          <w:ilvl w:val="0"/>
          <w:numId w:val="3"/>
        </w:numPr>
        <w:spacing w:before="0"/>
        <w:rPr>
          <w:b w:val="0"/>
          <w:color w:val="auto"/>
        </w:rPr>
      </w:pPr>
      <w:r w:rsidRPr="001F6006">
        <w:rPr>
          <w:b w:val="0"/>
          <w:color w:val="auto"/>
        </w:rPr>
        <w:lastRenderedPageBreak/>
        <w:t>Sistemde ihtiyaç duyulan ilave kapasitenin ya da korunması gereken kapasitenin büyüklüğü,</w:t>
      </w:r>
    </w:p>
    <w:p w:rsidR="00A27563" w:rsidRPr="001F6006" w:rsidRDefault="00A27563" w:rsidP="00A27563">
      <w:pPr>
        <w:pStyle w:val="Madde"/>
        <w:numPr>
          <w:ilvl w:val="0"/>
          <w:numId w:val="3"/>
        </w:numPr>
        <w:spacing w:before="0"/>
        <w:rPr>
          <w:b w:val="0"/>
          <w:color w:val="auto"/>
        </w:rPr>
      </w:pPr>
      <w:r w:rsidRPr="001F6006">
        <w:rPr>
          <w:b w:val="0"/>
          <w:color w:val="auto"/>
        </w:rPr>
        <w:t>Tahmini santral yatırım maliyetleri ve bu yatırımlar için ihtiyaç duyulan finansman maliyetlerinin seviyesi,</w:t>
      </w:r>
    </w:p>
    <w:p w:rsidR="00A27563" w:rsidRPr="001F6006" w:rsidRDefault="00A27563" w:rsidP="00A27563">
      <w:pPr>
        <w:pStyle w:val="Madde"/>
        <w:numPr>
          <w:ilvl w:val="0"/>
          <w:numId w:val="3"/>
        </w:numPr>
        <w:spacing w:before="0"/>
        <w:rPr>
          <w:b w:val="0"/>
          <w:color w:val="auto"/>
        </w:rPr>
      </w:pPr>
      <w:r w:rsidRPr="001F6006">
        <w:rPr>
          <w:b w:val="0"/>
          <w:color w:val="auto"/>
        </w:rPr>
        <w:t>Belirlenecek bütçenin iletim tarifeleri üzerindeki etkisi,</w:t>
      </w:r>
    </w:p>
    <w:p w:rsidR="00A27563" w:rsidRPr="001F6006" w:rsidRDefault="00662AD3" w:rsidP="00662AD3">
      <w:pPr>
        <w:pStyle w:val="Madde"/>
        <w:spacing w:before="0"/>
        <w:ind w:left="720" w:firstLine="0"/>
        <w:rPr>
          <w:b w:val="0"/>
          <w:color w:val="auto"/>
        </w:rPr>
      </w:pPr>
      <w:r>
        <w:rPr>
          <w:b w:val="0"/>
          <w:color w:val="auto"/>
        </w:rPr>
        <w:t xml:space="preserve">ç)   </w:t>
      </w:r>
      <w:r w:rsidR="00A27563" w:rsidRPr="001F6006">
        <w:rPr>
          <w:b w:val="0"/>
          <w:color w:val="auto"/>
        </w:rPr>
        <w:t>Gün öncesi piyasasında oluşan nihai piyasa takas fiyatlarının seyri,</w:t>
      </w:r>
    </w:p>
    <w:p w:rsidR="00030D71" w:rsidRPr="001F6006" w:rsidRDefault="00030D71" w:rsidP="00A27563">
      <w:pPr>
        <w:pStyle w:val="Madde"/>
        <w:numPr>
          <w:ilvl w:val="0"/>
          <w:numId w:val="3"/>
        </w:numPr>
        <w:spacing w:before="0"/>
        <w:rPr>
          <w:b w:val="0"/>
          <w:color w:val="auto"/>
        </w:rPr>
      </w:pPr>
      <w:r w:rsidRPr="001F6006">
        <w:rPr>
          <w:b w:val="0"/>
          <w:color w:val="auto"/>
        </w:rPr>
        <w:t>Fatura dönemi bazında oluşacak destekleme tutarı ihtiyacı,</w:t>
      </w:r>
    </w:p>
    <w:p w:rsidR="00A27563" w:rsidRPr="001F6006" w:rsidRDefault="00A27563" w:rsidP="00A27563">
      <w:pPr>
        <w:pStyle w:val="Madde"/>
        <w:numPr>
          <w:ilvl w:val="0"/>
          <w:numId w:val="3"/>
        </w:numPr>
        <w:spacing w:before="0"/>
        <w:rPr>
          <w:b w:val="0"/>
          <w:color w:val="auto"/>
        </w:rPr>
      </w:pPr>
      <w:r w:rsidRPr="001F6006">
        <w:rPr>
          <w:b w:val="0"/>
          <w:color w:val="auto"/>
        </w:rPr>
        <w:t xml:space="preserve">Elektrik üretim sektörünün mali sürdürülebilirliği. </w:t>
      </w:r>
    </w:p>
    <w:p w:rsidR="00A27563" w:rsidRPr="001F6006" w:rsidRDefault="00A27563" w:rsidP="00A27563">
      <w:pPr>
        <w:pStyle w:val="Madde"/>
        <w:rPr>
          <w:b w:val="0"/>
          <w:color w:val="auto"/>
        </w:rPr>
      </w:pPr>
      <w:r w:rsidRPr="001F6006">
        <w:rPr>
          <w:b w:val="0"/>
          <w:color w:val="auto"/>
        </w:rPr>
        <w:t xml:space="preserve">(3) Bir takvim yılında yapılan kapasite ödemelerinin toplamı ilgili takvim yılı için belirlenen bütçeyi aşamaz. Bir takvim yılı için yapılan kapasite ödemelerinin ilgili takvim yılı için belirlenen bütçenin altında kalması durumunda kalan bütçe sonraki yıla aktarılmaz. </w:t>
      </w:r>
    </w:p>
    <w:p w:rsidR="00A27563" w:rsidRPr="001F6006" w:rsidRDefault="00A27563" w:rsidP="005A7620">
      <w:pPr>
        <w:pStyle w:val="Madde"/>
        <w:rPr>
          <w:b w:val="0"/>
          <w:color w:val="auto"/>
        </w:rPr>
      </w:pPr>
      <w:r w:rsidRPr="001F6006">
        <w:rPr>
          <w:b w:val="0"/>
          <w:color w:val="auto"/>
        </w:rPr>
        <w:t xml:space="preserve">(4) </w:t>
      </w:r>
      <w:r w:rsidR="005A7620" w:rsidRPr="001F6006">
        <w:rPr>
          <w:b w:val="0"/>
          <w:color w:val="auto"/>
        </w:rPr>
        <w:t xml:space="preserve">Bir takvim yılı için belirlenecek bütçe fatura dönemlerine </w:t>
      </w:r>
      <w:r w:rsidR="00B040D9" w:rsidRPr="001F6006">
        <w:rPr>
          <w:b w:val="0"/>
          <w:color w:val="auto"/>
        </w:rPr>
        <w:t>pay edilir</w:t>
      </w:r>
      <w:r w:rsidR="005A7620" w:rsidRPr="001F6006">
        <w:rPr>
          <w:b w:val="0"/>
          <w:color w:val="auto"/>
        </w:rPr>
        <w:t>. Bir fatura döneminde yapılan kapasite ödemelerinin bütçenin altında kalması durumunda artan kısım bir sonraki fatura dönemine aktarılır.</w:t>
      </w:r>
      <w:r w:rsidR="00B11A5E" w:rsidRPr="001F6006">
        <w:rPr>
          <w:b w:val="0"/>
          <w:color w:val="auto"/>
        </w:rPr>
        <w:t xml:space="preserve"> İlgili takvim yılı</w:t>
      </w:r>
      <w:r w:rsidR="0080113C" w:rsidRPr="001F6006">
        <w:rPr>
          <w:b w:val="0"/>
          <w:color w:val="auto"/>
        </w:rPr>
        <w:t>nın</w:t>
      </w:r>
      <w:r w:rsidR="00B11A5E" w:rsidRPr="001F6006">
        <w:rPr>
          <w:b w:val="0"/>
          <w:color w:val="auto"/>
        </w:rPr>
        <w:t xml:space="preserve"> </w:t>
      </w:r>
      <w:r w:rsidR="0080113C" w:rsidRPr="001F6006">
        <w:rPr>
          <w:b w:val="0"/>
          <w:color w:val="auto"/>
        </w:rPr>
        <w:t xml:space="preserve">son fatura dönemine ilişkin ödemelerden sonra hala </w:t>
      </w:r>
      <w:r w:rsidR="00B11A5E" w:rsidRPr="001F6006">
        <w:rPr>
          <w:b w:val="0"/>
          <w:color w:val="auto"/>
        </w:rPr>
        <w:t>bütçenin artması durumunda</w:t>
      </w:r>
      <w:r w:rsidR="0080113C" w:rsidRPr="001F6006">
        <w:rPr>
          <w:b w:val="0"/>
          <w:color w:val="auto"/>
        </w:rPr>
        <w:t>, kalan bütçe</w:t>
      </w:r>
      <w:r w:rsidR="00B11A5E" w:rsidRPr="001F6006">
        <w:rPr>
          <w:b w:val="0"/>
          <w:color w:val="auto"/>
        </w:rPr>
        <w:t xml:space="preserve"> bir sonraki takvim yılına aktarılmaz.</w:t>
      </w:r>
    </w:p>
    <w:p w:rsidR="00A27563" w:rsidRPr="001F6006" w:rsidRDefault="00A27563" w:rsidP="00A27563">
      <w:pPr>
        <w:tabs>
          <w:tab w:val="left" w:pos="369"/>
        </w:tabs>
        <w:spacing w:after="0" w:line="240" w:lineRule="auto"/>
        <w:jc w:val="both"/>
        <w:rPr>
          <w:rFonts w:ascii="Times New Roman" w:eastAsia="Times New Roman" w:hAnsi="Times New Roman"/>
          <w:b/>
          <w:bCs/>
          <w:sz w:val="24"/>
          <w:szCs w:val="24"/>
          <w:lang w:val="tr-TR" w:eastAsia="en-US"/>
        </w:rPr>
      </w:pPr>
    </w:p>
    <w:p w:rsidR="00A27563" w:rsidRPr="001F6006" w:rsidRDefault="00A27563" w:rsidP="00A27563">
      <w:pPr>
        <w:tabs>
          <w:tab w:val="left" w:pos="369"/>
        </w:tabs>
        <w:spacing w:after="0" w:line="240" w:lineRule="auto"/>
        <w:jc w:val="both"/>
        <w:rPr>
          <w:rFonts w:ascii="Times New Roman" w:eastAsia="Times New Roman" w:hAnsi="Times New Roman"/>
          <w:b/>
          <w:bCs/>
          <w:sz w:val="24"/>
          <w:szCs w:val="24"/>
          <w:lang w:val="tr-TR" w:eastAsia="en-US"/>
        </w:rPr>
      </w:pPr>
      <w:r w:rsidRPr="001F6006">
        <w:rPr>
          <w:rFonts w:ascii="Times New Roman" w:eastAsia="Times New Roman" w:hAnsi="Times New Roman"/>
          <w:bCs/>
          <w:sz w:val="24"/>
          <w:szCs w:val="24"/>
          <w:lang w:val="tr-TR" w:eastAsia="en-US"/>
        </w:rPr>
        <w:tab/>
      </w:r>
      <w:r w:rsidRPr="001F6006">
        <w:rPr>
          <w:rFonts w:ascii="Times New Roman" w:eastAsia="Times New Roman" w:hAnsi="Times New Roman"/>
          <w:bCs/>
          <w:sz w:val="24"/>
          <w:szCs w:val="24"/>
          <w:lang w:val="tr-TR" w:eastAsia="en-US"/>
        </w:rPr>
        <w:tab/>
      </w:r>
      <w:r w:rsidRPr="001F6006">
        <w:rPr>
          <w:rFonts w:ascii="Times New Roman" w:eastAsia="Times New Roman" w:hAnsi="Times New Roman"/>
          <w:b/>
          <w:bCs/>
          <w:sz w:val="24"/>
          <w:szCs w:val="24"/>
          <w:lang w:val="tr-TR" w:eastAsia="en-US"/>
        </w:rPr>
        <w:t>Kapasite ödemelerine esas hesaplamalar</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ab/>
      </w:r>
      <w:r w:rsidRPr="001F6006">
        <w:rPr>
          <w:rFonts w:ascii="Times New Roman" w:eastAsia="Times New Roman" w:hAnsi="Times New Roman"/>
          <w:b/>
          <w:bCs/>
          <w:sz w:val="24"/>
          <w:szCs w:val="24"/>
          <w:lang w:val="tr-TR" w:eastAsia="en-US"/>
        </w:rPr>
        <w:tab/>
        <w:t xml:space="preserve">MADDE </w:t>
      </w:r>
      <w:r w:rsidR="001F4BA5" w:rsidRPr="001F6006">
        <w:rPr>
          <w:rFonts w:ascii="Times New Roman" w:eastAsia="Times New Roman" w:hAnsi="Times New Roman"/>
          <w:b/>
          <w:bCs/>
          <w:sz w:val="24"/>
          <w:szCs w:val="24"/>
          <w:lang w:val="tr-TR" w:eastAsia="en-US"/>
        </w:rPr>
        <w:t>8</w:t>
      </w:r>
      <w:r w:rsidRPr="001F6006">
        <w:rPr>
          <w:rFonts w:ascii="Times New Roman" w:eastAsia="Times New Roman" w:hAnsi="Times New Roman"/>
          <w:b/>
          <w:bCs/>
          <w:sz w:val="24"/>
          <w:szCs w:val="24"/>
          <w:lang w:val="tr-TR" w:eastAsia="en-US"/>
        </w:rPr>
        <w:t xml:space="preserve"> </w:t>
      </w:r>
      <w:r w:rsidRPr="001F6006">
        <w:rPr>
          <w:rFonts w:ascii="Times New Roman" w:eastAsia="Times New Roman" w:hAnsi="Times New Roman"/>
          <w:bCs/>
          <w:sz w:val="24"/>
          <w:szCs w:val="24"/>
          <w:lang w:val="tr-TR" w:eastAsia="en-US"/>
        </w:rPr>
        <w:t xml:space="preserve">(1) Kapasite mekanizması kapsamında üretim tesislerine </w:t>
      </w:r>
      <w:r w:rsidR="009D0F6C" w:rsidRPr="001F6006">
        <w:rPr>
          <w:rFonts w:ascii="Times New Roman" w:eastAsia="Times New Roman" w:hAnsi="Times New Roman"/>
          <w:bCs/>
          <w:sz w:val="24"/>
          <w:szCs w:val="24"/>
          <w:lang w:val="tr-TR" w:eastAsia="en-US"/>
        </w:rPr>
        <w:t xml:space="preserve">bir fatura döneminde </w:t>
      </w:r>
      <w:r w:rsidRPr="001F6006">
        <w:rPr>
          <w:rFonts w:ascii="Times New Roman" w:eastAsia="Times New Roman" w:hAnsi="Times New Roman"/>
          <w:bCs/>
          <w:sz w:val="24"/>
          <w:szCs w:val="24"/>
          <w:lang w:val="tr-TR" w:eastAsia="en-US"/>
        </w:rPr>
        <w:t xml:space="preserve">yapılacak ödemeler </w:t>
      </w:r>
      <w:r w:rsidR="005A7620" w:rsidRPr="001F6006">
        <w:rPr>
          <w:rFonts w:ascii="Times New Roman" w:eastAsia="Times New Roman" w:hAnsi="Times New Roman"/>
          <w:bCs/>
          <w:sz w:val="24"/>
          <w:szCs w:val="24"/>
          <w:lang w:val="tr-TR" w:eastAsia="en-US"/>
        </w:rPr>
        <w:t>aşağıdaki formül</w:t>
      </w:r>
      <w:r w:rsidRPr="001F6006">
        <w:rPr>
          <w:rFonts w:ascii="Times New Roman" w:eastAsia="Times New Roman" w:hAnsi="Times New Roman"/>
          <w:bCs/>
          <w:sz w:val="24"/>
          <w:szCs w:val="24"/>
          <w:lang w:val="tr-TR" w:eastAsia="en-US"/>
        </w:rPr>
        <w:t xml:space="preserve"> uyarınca hesaplanır:</w:t>
      </w:r>
    </w:p>
    <w:p w:rsidR="002806B0" w:rsidRPr="001F6006" w:rsidRDefault="002C728E" w:rsidP="00A27563">
      <w:pPr>
        <w:tabs>
          <w:tab w:val="left" w:pos="369"/>
        </w:tabs>
        <w:spacing w:after="0" w:line="240" w:lineRule="auto"/>
        <w:ind w:firstLine="720"/>
        <w:jc w:val="both"/>
        <w:rPr>
          <w:rFonts w:ascii="Times New Roman" w:eastAsia="Times New Roman" w:hAnsi="Times New Roman"/>
          <w:b/>
          <w:sz w:val="20"/>
          <w:szCs w:val="20"/>
          <w:lang w:val="tr-TR" w:eastAsia="en-US"/>
        </w:rPr>
      </w:pPr>
      <w:r w:rsidRPr="001F6006">
        <w:rPr>
          <w:rFonts w:ascii="Times New Roman" w:eastAsia="Times New Roman" w:hAnsi="Times New Roman"/>
          <w:b/>
          <w:bCs/>
          <w:sz w:val="20"/>
          <w:szCs w:val="20"/>
          <w:lang w:val="tr-TR" w:eastAsia="en-US"/>
        </w:rPr>
        <w:br/>
      </w:r>
      <m:oMathPara>
        <m:oMath>
          <m:r>
            <m:rPr>
              <m:sty m:val="p"/>
            </m:rPr>
            <w:rPr>
              <w:rFonts w:ascii="Times New Roman" w:eastAsia="Times New Roman" w:hAnsi="Times New Roman"/>
              <w:sz w:val="20"/>
              <w:szCs w:val="20"/>
              <w:lang w:val="tr-TR" w:eastAsia="en-US"/>
            </w:rPr>
            <w:br/>
          </m:r>
        </m:oMath>
      </m:oMathPara>
      <w:r w:rsidR="00903FA5" w:rsidRPr="001F6006">
        <w:rPr>
          <w:rFonts w:ascii="Times New Roman" w:eastAsia="Times New Roman" w:hAnsi="Times New Roman"/>
          <w:b/>
          <w:sz w:val="20"/>
          <w:szCs w:val="20"/>
          <w:lang w:val="tr-TR" w:eastAsia="en-US"/>
        </w:rPr>
        <w:tab/>
      </w:r>
    </w:p>
    <w:p w:rsidR="00903FA5" w:rsidRPr="001F6006" w:rsidRDefault="00A17125" w:rsidP="00A27563">
      <w:pPr>
        <w:tabs>
          <w:tab w:val="left" w:pos="369"/>
        </w:tabs>
        <w:spacing w:after="0" w:line="240" w:lineRule="auto"/>
        <w:ind w:firstLine="720"/>
        <w:jc w:val="both"/>
        <w:rPr>
          <w:rFonts w:ascii="Times New Roman" w:eastAsia="Times New Roman" w:hAnsi="Times New Roman"/>
          <w:b/>
          <w:sz w:val="20"/>
          <w:szCs w:val="20"/>
          <w:lang w:val="tr-TR" w:eastAsia="en-US"/>
        </w:rPr>
      </w:pPr>
      <m:oMathPara>
        <m:oMath>
          <m:r>
            <m:rPr>
              <m:sty m:val="bi"/>
            </m:rPr>
            <w:rPr>
              <w:rFonts w:ascii="Cambria Math" w:eastAsia="Times New Roman" w:hAnsi="Cambria Math"/>
              <w:sz w:val="20"/>
              <w:szCs w:val="20"/>
              <w:lang w:val="tr-TR" w:eastAsia="en-US"/>
            </w:rPr>
            <m:t>K</m:t>
          </m:r>
          <m:sSub>
            <m:sSubPr>
              <m:ctrlPr>
                <w:rPr>
                  <w:rFonts w:ascii="Cambria Math" w:eastAsia="Times New Roman" w:hAnsi="Cambria Math"/>
                  <w:b/>
                  <w:i/>
                  <w:sz w:val="20"/>
                  <w:szCs w:val="20"/>
                  <w:lang w:val="tr-TR" w:eastAsia="en-US"/>
                </w:rPr>
              </m:ctrlPr>
            </m:sSubPr>
            <m:e>
              <m:r>
                <m:rPr>
                  <m:sty m:val="bi"/>
                </m:rPr>
                <w:rPr>
                  <w:rFonts w:ascii="Cambria Math" w:eastAsia="Times New Roman" w:hAnsi="Cambria Math"/>
                  <w:sz w:val="20"/>
                  <w:szCs w:val="20"/>
                  <w:lang w:val="tr-TR" w:eastAsia="en-US"/>
                </w:rPr>
                <m:t>Ö</m:t>
              </m:r>
            </m:e>
            <m:sub>
              <m:r>
                <m:rPr>
                  <m:sty m:val="bi"/>
                </m:rPr>
                <w:rPr>
                  <w:rFonts w:ascii="Cambria Math" w:eastAsia="Times New Roman" w:hAnsi="Cambria Math"/>
                  <w:sz w:val="20"/>
                  <w:szCs w:val="20"/>
                  <w:vertAlign w:val="subscript"/>
                  <w:lang w:val="tr-TR" w:eastAsia="en-US"/>
                </w:rPr>
                <m:t>i,f</m:t>
              </m:r>
            </m:sub>
          </m:sSub>
          <m:r>
            <m:rPr>
              <m:sty m:val="bi"/>
            </m:rPr>
            <w:rPr>
              <w:rFonts w:ascii="Cambria Math" w:eastAsia="Times New Roman" w:hAnsi="Times New Roman"/>
              <w:sz w:val="20"/>
              <w:szCs w:val="20"/>
              <w:vertAlign w:val="subscript"/>
              <w:lang w:val="tr-TR" w:eastAsia="en-US"/>
            </w:rPr>
            <m:t>=</m:t>
          </m:r>
          <m:r>
            <m:rPr>
              <m:sty m:val="bi"/>
            </m:rPr>
            <w:rPr>
              <w:rFonts w:ascii="Cambria Math" w:eastAsia="Times New Roman" w:hAnsi="Times New Roman"/>
              <w:sz w:val="20"/>
              <w:szCs w:val="20"/>
              <w:vertAlign w:val="subscript"/>
              <w:lang w:val="tr-TR" w:eastAsia="en-US"/>
            </w:rPr>
            <m:t>Ö</m:t>
          </m:r>
          <m:r>
            <m:rPr>
              <m:sty m:val="bi"/>
            </m:rPr>
            <w:rPr>
              <w:rFonts w:ascii="Cambria Math" w:eastAsia="Times New Roman" w:hAnsi="Times New Roman"/>
              <w:sz w:val="20"/>
              <w:szCs w:val="20"/>
              <w:vertAlign w:val="subscript"/>
              <w:lang w:val="tr-TR" w:eastAsia="en-US"/>
            </w:rPr>
            <m:t>K</m:t>
          </m:r>
          <m:sSub>
            <m:sSubPr>
              <m:ctrlPr>
                <w:rPr>
                  <w:rFonts w:ascii="Cambria Math" w:eastAsia="Times New Roman" w:hAnsi="Times New Roman"/>
                  <w:b/>
                  <w:i/>
                  <w:sz w:val="20"/>
                  <w:szCs w:val="20"/>
                  <w:vertAlign w:val="subscript"/>
                  <w:lang w:val="tr-TR" w:eastAsia="en-US"/>
                </w:rPr>
              </m:ctrlPr>
            </m:sSubPr>
            <m:e>
              <m:r>
                <m:rPr>
                  <m:sty m:val="bi"/>
                </m:rPr>
                <w:rPr>
                  <w:rFonts w:ascii="Cambria Math" w:eastAsia="Times New Roman" w:hAnsi="Times New Roman"/>
                  <w:sz w:val="20"/>
                  <w:szCs w:val="20"/>
                  <w:vertAlign w:val="subscript"/>
                  <w:lang w:val="tr-TR" w:eastAsia="en-US"/>
                </w:rPr>
                <m:t>O</m:t>
              </m:r>
            </m:e>
            <m:sub>
              <m:r>
                <m:rPr>
                  <m:sty m:val="bi"/>
                </m:rPr>
                <w:rPr>
                  <w:rFonts w:ascii="Cambria Math" w:eastAsia="Times New Roman" w:hAnsi="Times New Roman"/>
                  <w:sz w:val="20"/>
                  <w:szCs w:val="20"/>
                  <w:vertAlign w:val="subscript"/>
                  <w:lang w:val="tr-TR" w:eastAsia="en-US"/>
                </w:rPr>
                <m:t>i</m:t>
              </m:r>
            </m:sub>
          </m:sSub>
          <m:r>
            <m:rPr>
              <m:sty m:val="bi"/>
            </m:rPr>
            <w:rPr>
              <w:rFonts w:ascii="Cambria Math" w:eastAsia="Times New Roman" w:hAnsi="Times New Roman"/>
              <w:sz w:val="20"/>
              <w:szCs w:val="20"/>
              <w:vertAlign w:val="subscript"/>
              <w:lang w:val="tr-TR" w:eastAsia="en-US"/>
            </w:rPr>
            <m:t>*</m:t>
          </m:r>
          <m:d>
            <m:dPr>
              <m:begChr m:val="["/>
              <m:endChr m:val="]"/>
              <m:ctrlPr>
                <w:rPr>
                  <w:rFonts w:ascii="Cambria Math" w:eastAsia="Times New Roman" w:hAnsi="Times New Roman"/>
                  <w:b/>
                  <w:i/>
                  <w:sz w:val="20"/>
                  <w:szCs w:val="20"/>
                  <w:vertAlign w:val="subscript"/>
                  <w:lang w:val="tr-TR" w:eastAsia="en-US"/>
                </w:rPr>
              </m:ctrlPr>
            </m:dPr>
            <m:e>
              <m:nary>
                <m:naryPr>
                  <m:chr m:val="∑"/>
                  <m:limLoc m:val="undOvr"/>
                  <m:ctrlPr>
                    <w:rPr>
                      <w:rFonts w:ascii="Cambria Math" w:eastAsia="Times New Roman" w:hAnsi="Cambria Math"/>
                      <w:b/>
                      <w:bCs/>
                      <w:i/>
                      <w:sz w:val="20"/>
                      <w:szCs w:val="20"/>
                      <w:lang w:val="tr-TR" w:eastAsia="en-US"/>
                    </w:rPr>
                  </m:ctrlPr>
                </m:naryPr>
                <m:sub>
                  <m:r>
                    <m:rPr>
                      <m:sty m:val="bi"/>
                    </m:rPr>
                    <w:rPr>
                      <w:rFonts w:ascii="Cambria Math" w:eastAsia="Times New Roman" w:hAnsi="Cambria Math"/>
                      <w:sz w:val="20"/>
                      <w:szCs w:val="20"/>
                      <w:lang w:val="tr-TR" w:eastAsia="en-US"/>
                    </w:rPr>
                    <m:t>m=1</m:t>
                  </m:r>
                </m:sub>
                <m:sup>
                  <m:r>
                    <m:rPr>
                      <m:sty m:val="bi"/>
                    </m:rPr>
                    <w:rPr>
                      <w:rFonts w:ascii="Cambria Math" w:eastAsia="Times New Roman" w:hAnsi="Cambria Math"/>
                      <w:sz w:val="20"/>
                      <w:szCs w:val="20"/>
                      <w:lang w:val="tr-TR" w:eastAsia="en-US"/>
                    </w:rPr>
                    <m:t>k</m:t>
                  </m:r>
                </m:sup>
                <m:e>
                  <m:sSub>
                    <m:sSubPr>
                      <m:ctrlPr>
                        <w:rPr>
                          <w:rFonts w:ascii="Cambria Math" w:eastAsia="Times New Roman" w:hAnsi="Cambria Math"/>
                          <w:b/>
                          <w:i/>
                          <w:sz w:val="20"/>
                          <w:szCs w:val="20"/>
                          <w:lang w:val="tr-TR" w:eastAsia="en-US"/>
                        </w:rPr>
                      </m:ctrlPr>
                    </m:sSubPr>
                    <m:e>
                      <m:r>
                        <m:rPr>
                          <m:sty m:val="bi"/>
                        </m:rPr>
                        <w:rPr>
                          <w:rFonts w:ascii="Cambria Math" w:eastAsia="Times New Roman" w:hAnsi="Cambria Math"/>
                          <w:sz w:val="20"/>
                          <w:szCs w:val="20"/>
                          <w:lang w:val="tr-TR" w:eastAsia="en-US"/>
                        </w:rPr>
                        <m:t>KG</m:t>
                      </m:r>
                    </m:e>
                    <m:sub>
                      <m:r>
                        <m:rPr>
                          <m:sty m:val="bi"/>
                        </m:rPr>
                        <w:rPr>
                          <w:rFonts w:ascii="Cambria Math" w:eastAsia="Times New Roman" w:hAnsi="Cambria Math"/>
                          <w:sz w:val="20"/>
                          <w:szCs w:val="20"/>
                          <w:lang w:val="tr-TR" w:eastAsia="en-US"/>
                        </w:rPr>
                        <m:t>i</m:t>
                      </m:r>
                    </m:sub>
                  </m:sSub>
                  <m:r>
                    <m:rPr>
                      <m:sty m:val="bi"/>
                    </m:rPr>
                    <w:rPr>
                      <w:rFonts w:ascii="Cambria Math" w:eastAsia="Times New Roman" w:hAnsi="Cambria Math"/>
                      <w:sz w:val="20"/>
                      <w:szCs w:val="20"/>
                      <w:lang w:val="tr-TR" w:eastAsia="en-US"/>
                    </w:rPr>
                    <m:t>*SM</m:t>
                  </m:r>
                  <m:sSub>
                    <m:sSubPr>
                      <m:ctrlPr>
                        <w:rPr>
                          <w:rFonts w:ascii="Cambria Math" w:eastAsia="Times New Roman" w:hAnsi="Cambria Math"/>
                          <w:b/>
                          <w:i/>
                          <w:sz w:val="20"/>
                          <w:szCs w:val="20"/>
                          <w:lang w:val="tr-TR" w:eastAsia="en-US"/>
                        </w:rPr>
                      </m:ctrlPr>
                    </m:sSubPr>
                    <m:e>
                      <m:r>
                        <m:rPr>
                          <m:sty m:val="bi"/>
                        </m:rPr>
                        <w:rPr>
                          <w:rFonts w:ascii="Cambria Math" w:eastAsia="Times New Roman" w:hAnsi="Cambria Math"/>
                          <w:sz w:val="20"/>
                          <w:szCs w:val="20"/>
                          <w:lang w:val="tr-TR" w:eastAsia="en-US"/>
                        </w:rPr>
                        <m:t>B</m:t>
                      </m:r>
                    </m:e>
                    <m:sub>
                      <m:r>
                        <m:rPr>
                          <m:sty m:val="bi"/>
                        </m:rPr>
                        <w:rPr>
                          <w:rFonts w:ascii="Cambria Math" w:eastAsia="Times New Roman" w:hAnsi="Cambria Math"/>
                          <w:sz w:val="20"/>
                          <w:szCs w:val="20"/>
                          <w:lang w:val="tr-TR" w:eastAsia="en-US"/>
                        </w:rPr>
                        <m:t>f,j</m:t>
                      </m:r>
                    </m:sub>
                  </m:sSub>
                  <m:r>
                    <m:rPr>
                      <m:sty m:val="bi"/>
                    </m:rPr>
                    <w:rPr>
                      <w:rFonts w:ascii="Cambria Math" w:eastAsia="Times New Roman" w:hAnsi="Cambria Math"/>
                      <w:sz w:val="20"/>
                      <w:szCs w:val="20"/>
                      <w:lang w:val="tr-TR" w:eastAsia="en-US"/>
                    </w:rPr>
                    <m:t>*</m:t>
                  </m:r>
                  <m:d>
                    <m:dPr>
                      <m:ctrlPr>
                        <w:rPr>
                          <w:rFonts w:ascii="Cambria Math" w:eastAsia="Times New Roman" w:hAnsi="Cambria Math"/>
                          <w:b/>
                          <w:i/>
                          <w:sz w:val="20"/>
                          <w:szCs w:val="20"/>
                          <w:lang w:val="tr-TR" w:eastAsia="en-US"/>
                        </w:rPr>
                      </m:ctrlPr>
                    </m:dPr>
                    <m:e>
                      <m:r>
                        <m:rPr>
                          <m:sty m:val="bi"/>
                        </m:rPr>
                        <w:rPr>
                          <w:rFonts w:ascii="Cambria Math" w:eastAsia="Times New Roman" w:hAnsi="Cambria Math"/>
                          <w:sz w:val="20"/>
                          <w:szCs w:val="20"/>
                          <w:lang w:val="tr-TR" w:eastAsia="en-US"/>
                        </w:rPr>
                        <m:t>1 saat</m:t>
                      </m:r>
                    </m:e>
                  </m:d>
                </m:e>
              </m:nary>
              <m:r>
                <m:rPr>
                  <m:sty m:val="bi"/>
                </m:rPr>
                <w:rPr>
                  <w:rFonts w:ascii="Cambria Math" w:eastAsia="Times New Roman" w:hAnsi="Cambria Math"/>
                  <w:sz w:val="20"/>
                  <w:szCs w:val="20"/>
                  <w:lang w:val="tr-TR" w:eastAsia="en-US"/>
                </w:rPr>
                <m:t>+</m:t>
              </m:r>
              <m:nary>
                <m:naryPr>
                  <m:chr m:val="∑"/>
                  <m:limLoc m:val="undOvr"/>
                  <m:ctrlPr>
                    <w:rPr>
                      <w:rFonts w:ascii="Cambria Math" w:eastAsia="Times New Roman" w:hAnsi="Cambria Math"/>
                      <w:b/>
                      <w:bCs/>
                      <w:i/>
                      <w:sz w:val="20"/>
                      <w:szCs w:val="20"/>
                      <w:lang w:val="tr-TR" w:eastAsia="en-US"/>
                    </w:rPr>
                  </m:ctrlPr>
                </m:naryPr>
                <m:sub>
                  <m:r>
                    <m:rPr>
                      <m:sty m:val="bi"/>
                    </m:rPr>
                    <w:rPr>
                      <w:rFonts w:ascii="Cambria Math" w:eastAsia="Times New Roman" w:hAnsi="Cambria Math"/>
                      <w:sz w:val="20"/>
                      <w:szCs w:val="20"/>
                      <w:lang w:val="tr-TR" w:eastAsia="en-US"/>
                    </w:rPr>
                    <m:t>n=1</m:t>
                  </m:r>
                </m:sub>
                <m:sup>
                  <m:r>
                    <m:rPr>
                      <m:sty m:val="bi"/>
                    </m:rPr>
                    <w:rPr>
                      <w:rFonts w:ascii="Cambria Math" w:eastAsia="Times New Roman" w:hAnsi="Cambria Math"/>
                      <w:sz w:val="20"/>
                      <w:szCs w:val="20"/>
                      <w:lang w:val="tr-TR" w:eastAsia="en-US"/>
                    </w:rPr>
                    <m:t>l</m:t>
                  </m:r>
                </m:sup>
                <m:e>
                  <m:sSub>
                    <m:sSubPr>
                      <m:ctrlPr>
                        <w:rPr>
                          <w:rFonts w:ascii="Cambria Math" w:eastAsia="Times New Roman" w:hAnsi="Cambria Math"/>
                          <w:b/>
                          <w:i/>
                          <w:sz w:val="20"/>
                          <w:szCs w:val="20"/>
                          <w:lang w:val="tr-TR" w:eastAsia="en-US"/>
                        </w:rPr>
                      </m:ctrlPr>
                    </m:sSubPr>
                    <m:e>
                      <m:r>
                        <m:rPr>
                          <m:sty m:val="bi"/>
                        </m:rPr>
                        <w:rPr>
                          <w:rFonts w:ascii="Cambria Math" w:eastAsia="Times New Roman" w:hAnsi="Cambria Math"/>
                          <w:sz w:val="20"/>
                          <w:szCs w:val="20"/>
                          <w:lang w:val="tr-TR" w:eastAsia="en-US"/>
                        </w:rPr>
                        <m:t>KG</m:t>
                      </m:r>
                    </m:e>
                    <m:sub>
                      <m:r>
                        <m:rPr>
                          <m:sty m:val="bi"/>
                        </m:rPr>
                        <w:rPr>
                          <w:rFonts w:ascii="Cambria Math" w:eastAsia="Times New Roman" w:hAnsi="Cambria Math"/>
                          <w:sz w:val="20"/>
                          <w:szCs w:val="20"/>
                          <w:lang w:val="tr-TR" w:eastAsia="en-US"/>
                        </w:rPr>
                        <m:t>i</m:t>
                      </m:r>
                    </m:sub>
                  </m:sSub>
                  <m:r>
                    <m:rPr>
                      <m:sty m:val="bi"/>
                    </m:rPr>
                    <w:rPr>
                      <w:rFonts w:ascii="Cambria Math" w:eastAsia="Times New Roman" w:hAnsi="Cambria Math"/>
                      <w:sz w:val="20"/>
                      <w:szCs w:val="20"/>
                      <w:lang w:val="tr-TR" w:eastAsia="en-US"/>
                    </w:rPr>
                    <m:t>*</m:t>
                  </m:r>
                </m:e>
              </m:nary>
              <m:r>
                <m:rPr>
                  <m:sty m:val="bi"/>
                </m:rPr>
                <w:rPr>
                  <w:rFonts w:ascii="Cambria Math" w:eastAsia="Times New Roman" w:hAnsi="Cambria Math"/>
                  <w:sz w:val="20"/>
                  <w:szCs w:val="20"/>
                  <w:lang w:val="tr-TR" w:eastAsia="en-US"/>
                </w:rPr>
                <m:t xml:space="preserve"> </m:t>
              </m:r>
              <m:d>
                <m:dPr>
                  <m:ctrlPr>
                    <w:rPr>
                      <w:rFonts w:ascii="Cambria Math" w:eastAsia="Times New Roman" w:hAnsi="Cambria Math"/>
                      <w:b/>
                      <w:i/>
                      <w:sz w:val="20"/>
                      <w:szCs w:val="20"/>
                      <w:lang w:val="tr-TR" w:eastAsia="en-US"/>
                    </w:rPr>
                  </m:ctrlPr>
                </m:dPr>
                <m:e>
                  <m:sSub>
                    <m:sSubPr>
                      <m:ctrlPr>
                        <w:rPr>
                          <w:rFonts w:ascii="Cambria Math" w:eastAsia="Times New Roman" w:hAnsi="Cambria Math"/>
                          <w:b/>
                          <w:i/>
                          <w:sz w:val="20"/>
                          <w:szCs w:val="20"/>
                          <w:lang w:val="tr-TR" w:eastAsia="en-US"/>
                        </w:rPr>
                      </m:ctrlPr>
                    </m:sSubPr>
                    <m:e>
                      <m:r>
                        <m:rPr>
                          <m:sty m:val="bi"/>
                        </m:rPr>
                        <w:rPr>
                          <w:rFonts w:ascii="Cambria Math" w:eastAsia="Times New Roman" w:hAnsi="Cambria Math"/>
                          <w:sz w:val="20"/>
                          <w:szCs w:val="20"/>
                          <w:lang w:val="tr-TR" w:eastAsia="en-US"/>
                        </w:rPr>
                        <m:t>TMB</m:t>
                      </m:r>
                    </m:e>
                    <m:sub>
                      <m:r>
                        <m:rPr>
                          <m:sty m:val="bi"/>
                        </m:rPr>
                        <w:rPr>
                          <w:rFonts w:ascii="Cambria Math" w:eastAsia="Times New Roman" w:hAnsi="Cambria Math"/>
                          <w:sz w:val="20"/>
                          <w:szCs w:val="20"/>
                          <w:lang w:val="tr-TR" w:eastAsia="en-US"/>
                        </w:rPr>
                        <m:t>f,j</m:t>
                      </m:r>
                    </m:sub>
                  </m:sSub>
                  <m:r>
                    <m:rPr>
                      <m:sty m:val="bi"/>
                    </m:rPr>
                    <w:rPr>
                      <w:rFonts w:ascii="Cambria Math" w:eastAsia="Times New Roman" w:hAnsi="Cambria Math"/>
                      <w:sz w:val="20"/>
                      <w:szCs w:val="20"/>
                      <w:lang w:val="tr-TR" w:eastAsia="en-US"/>
                    </w:rPr>
                    <m:t>-</m:t>
                  </m:r>
                  <m:sSub>
                    <m:sSubPr>
                      <m:ctrlPr>
                        <w:rPr>
                          <w:rFonts w:ascii="Cambria Math" w:eastAsia="Times New Roman" w:hAnsi="Cambria Math"/>
                          <w:b/>
                          <w:i/>
                          <w:sz w:val="20"/>
                          <w:szCs w:val="20"/>
                          <w:lang w:val="tr-TR" w:eastAsia="en-US"/>
                        </w:rPr>
                      </m:ctrlPr>
                    </m:sSubPr>
                    <m:e>
                      <m:r>
                        <m:rPr>
                          <m:sty m:val="bi"/>
                        </m:rPr>
                        <w:rPr>
                          <w:rFonts w:ascii="Cambria Math" w:eastAsia="Times New Roman" w:hAnsi="Cambria Math"/>
                          <w:sz w:val="20"/>
                          <w:szCs w:val="20"/>
                          <w:lang w:val="tr-TR" w:eastAsia="en-US"/>
                        </w:rPr>
                        <m:t>PTF</m:t>
                      </m:r>
                    </m:e>
                    <m:sub>
                      <m:r>
                        <m:rPr>
                          <m:sty m:val="bi"/>
                        </m:rPr>
                        <w:rPr>
                          <w:rFonts w:ascii="Cambria Math" w:eastAsia="Times New Roman" w:hAnsi="Cambria Math"/>
                          <w:sz w:val="20"/>
                          <w:szCs w:val="20"/>
                          <w:lang w:val="tr-TR" w:eastAsia="en-US"/>
                        </w:rPr>
                        <m:t>t,f,n</m:t>
                      </m:r>
                    </m:sub>
                  </m:sSub>
                </m:e>
              </m:d>
              <m:r>
                <m:rPr>
                  <m:sty m:val="bi"/>
                </m:rPr>
                <w:rPr>
                  <w:rFonts w:ascii="Cambria Math" w:eastAsia="Times New Roman" w:hAnsi="Cambria Math"/>
                  <w:sz w:val="20"/>
                  <w:szCs w:val="20"/>
                  <w:lang w:val="tr-TR" w:eastAsia="en-US"/>
                </w:rPr>
                <m:t>*</m:t>
              </m:r>
              <m:d>
                <m:dPr>
                  <m:ctrlPr>
                    <w:rPr>
                      <w:rFonts w:ascii="Cambria Math" w:eastAsia="Times New Roman" w:hAnsi="Cambria Math"/>
                      <w:b/>
                      <w:i/>
                      <w:sz w:val="20"/>
                      <w:szCs w:val="20"/>
                      <w:lang w:val="tr-TR" w:eastAsia="en-US"/>
                    </w:rPr>
                  </m:ctrlPr>
                </m:dPr>
                <m:e>
                  <m:r>
                    <m:rPr>
                      <m:sty m:val="bi"/>
                    </m:rPr>
                    <w:rPr>
                      <w:rFonts w:ascii="Cambria Math" w:eastAsia="Times New Roman" w:hAnsi="Cambria Math"/>
                      <w:sz w:val="20"/>
                      <w:szCs w:val="20"/>
                      <w:lang w:val="tr-TR" w:eastAsia="en-US"/>
                    </w:rPr>
                    <m:t>1 saat</m:t>
                  </m:r>
                </m:e>
              </m:d>
              <m:ctrlPr>
                <w:rPr>
                  <w:rFonts w:ascii="Cambria Math" w:eastAsia="Times New Roman" w:hAnsi="Cambria Math"/>
                  <w:b/>
                  <w:i/>
                  <w:sz w:val="20"/>
                  <w:szCs w:val="20"/>
                  <w:lang w:val="tr-TR" w:eastAsia="en-US"/>
                </w:rPr>
              </m:ctrlPr>
            </m:e>
          </m:d>
        </m:oMath>
      </m:oMathPara>
    </w:p>
    <w:p w:rsidR="00903FA5" w:rsidRPr="001F6006" w:rsidRDefault="003674C0" w:rsidP="003674C0">
      <w:pPr>
        <w:tabs>
          <w:tab w:val="left" w:pos="369"/>
        </w:tabs>
        <w:spacing w:after="0" w:line="240" w:lineRule="auto"/>
        <w:jc w:val="both"/>
        <w:rPr>
          <w:rFonts w:ascii="Times New Roman" w:eastAsia="Times New Roman" w:hAnsi="Times New Roman"/>
          <w:b/>
          <w:sz w:val="20"/>
          <w:szCs w:val="20"/>
          <w:lang w:val="tr-TR" w:eastAsia="en-US"/>
        </w:rPr>
      </w:pPr>
      <w:r w:rsidRPr="001F6006">
        <w:rPr>
          <w:rFonts w:ascii="Times New Roman" w:eastAsia="Times New Roman" w:hAnsi="Times New Roman"/>
          <w:b/>
          <w:sz w:val="20"/>
          <w:szCs w:val="20"/>
          <w:lang w:val="tr-TR" w:eastAsia="en-US"/>
        </w:rPr>
        <w:t>(1)</w:t>
      </w:r>
    </w:p>
    <w:p w:rsidR="00A27563" w:rsidRPr="001F6006" w:rsidRDefault="00A27563" w:rsidP="00A27563">
      <w:pPr>
        <w:tabs>
          <w:tab w:val="left" w:pos="369"/>
        </w:tabs>
        <w:spacing w:after="0" w:line="240" w:lineRule="auto"/>
        <w:ind w:firstLine="720"/>
        <w:jc w:val="both"/>
        <w:rPr>
          <w:rFonts w:ascii="Times New Roman" w:eastAsia="Times New Roman" w:hAnsi="Times New Roman"/>
          <w:bCs/>
          <w:sz w:val="24"/>
          <w:szCs w:val="24"/>
          <w:lang w:val="tr-TR" w:eastAsia="en-US"/>
        </w:rPr>
      </w:pP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ab/>
      </w:r>
      <w:r w:rsidRPr="001F6006">
        <w:rPr>
          <w:rFonts w:ascii="Times New Roman" w:eastAsia="Times New Roman" w:hAnsi="Times New Roman"/>
          <w:bCs/>
          <w:sz w:val="24"/>
          <w:szCs w:val="24"/>
          <w:lang w:val="tr-TR" w:eastAsia="en-US"/>
        </w:rPr>
        <w:tab/>
        <w:t xml:space="preserve">Bu </w:t>
      </w:r>
      <w:r w:rsidR="00C25387" w:rsidRPr="001F6006">
        <w:rPr>
          <w:rFonts w:ascii="Times New Roman" w:eastAsia="Times New Roman" w:hAnsi="Times New Roman"/>
          <w:bCs/>
          <w:sz w:val="24"/>
          <w:szCs w:val="24"/>
          <w:lang w:val="tr-TR" w:eastAsia="en-US"/>
        </w:rPr>
        <w:t xml:space="preserve">formülde </w:t>
      </w:r>
      <w:r w:rsidRPr="001F6006">
        <w:rPr>
          <w:rFonts w:ascii="Times New Roman" w:eastAsia="Times New Roman" w:hAnsi="Times New Roman"/>
          <w:bCs/>
          <w:sz w:val="24"/>
          <w:szCs w:val="24"/>
          <w:lang w:val="tr-TR" w:eastAsia="en-US"/>
        </w:rPr>
        <w:t>geçen;</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i: “</w:t>
      </w:r>
      <w:r w:rsidR="00F70CCC" w:rsidRPr="001F6006">
        <w:rPr>
          <w:rFonts w:ascii="Times New Roman" w:eastAsia="Times New Roman" w:hAnsi="Times New Roman"/>
          <w:bCs/>
          <w:sz w:val="24"/>
          <w:szCs w:val="24"/>
          <w:lang w:val="tr-TR" w:eastAsia="en-US"/>
        </w:rPr>
        <w:t>f</w:t>
      </w:r>
      <w:r w:rsidRPr="001F6006">
        <w:rPr>
          <w:rFonts w:ascii="Times New Roman" w:eastAsia="Times New Roman" w:hAnsi="Times New Roman"/>
          <w:bCs/>
          <w:sz w:val="24"/>
          <w:szCs w:val="24"/>
          <w:lang w:val="tr-TR" w:eastAsia="en-US"/>
        </w:rPr>
        <w:t>” döneminde kapasite mekanizmasında yer alan her bir üretim tesisini,</w:t>
      </w:r>
    </w:p>
    <w:p w:rsidR="00A27563" w:rsidRPr="001F6006" w:rsidRDefault="002C5308"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f</w:t>
      </w:r>
      <w:r w:rsidR="00A27563" w:rsidRPr="001F6006">
        <w:rPr>
          <w:rFonts w:ascii="Times New Roman" w:eastAsia="Times New Roman" w:hAnsi="Times New Roman"/>
          <w:b/>
          <w:bCs/>
          <w:sz w:val="24"/>
          <w:szCs w:val="24"/>
          <w:lang w:val="tr-TR" w:eastAsia="en-US"/>
        </w:rPr>
        <w:t>:</w:t>
      </w:r>
      <w:r w:rsidR="00A27563" w:rsidRPr="001F6006">
        <w:rPr>
          <w:rFonts w:ascii="Times New Roman" w:eastAsia="Times New Roman" w:hAnsi="Times New Roman"/>
          <w:bCs/>
          <w:sz w:val="24"/>
          <w:szCs w:val="24"/>
          <w:lang w:val="tr-TR" w:eastAsia="en-US"/>
        </w:rPr>
        <w:t xml:space="preserve"> Kapasite mekanizması uygulamasının yapıldığı takvim yılındaki her bir </w:t>
      </w:r>
      <w:r w:rsidR="005A7620" w:rsidRPr="001F6006">
        <w:rPr>
          <w:rFonts w:ascii="Times New Roman" w:eastAsia="Times New Roman" w:hAnsi="Times New Roman"/>
          <w:bCs/>
          <w:sz w:val="24"/>
          <w:szCs w:val="24"/>
          <w:lang w:val="tr-TR" w:eastAsia="en-US"/>
        </w:rPr>
        <w:t xml:space="preserve">fatura </w:t>
      </w:r>
      <w:r w:rsidR="00A27563" w:rsidRPr="001F6006">
        <w:rPr>
          <w:rFonts w:ascii="Times New Roman" w:eastAsia="Times New Roman" w:hAnsi="Times New Roman"/>
          <w:bCs/>
          <w:sz w:val="24"/>
          <w:szCs w:val="24"/>
          <w:lang w:val="tr-TR" w:eastAsia="en-US"/>
        </w:rPr>
        <w:t>dönemi</w:t>
      </w:r>
      <w:r w:rsidR="005A7620" w:rsidRPr="001F6006">
        <w:rPr>
          <w:rFonts w:ascii="Times New Roman" w:eastAsia="Times New Roman" w:hAnsi="Times New Roman"/>
          <w:bCs/>
          <w:sz w:val="24"/>
          <w:szCs w:val="24"/>
          <w:lang w:val="tr-TR" w:eastAsia="en-US"/>
        </w:rPr>
        <w:t>ni</w:t>
      </w:r>
      <w:r w:rsidR="00A27563" w:rsidRPr="001F6006">
        <w:rPr>
          <w:rFonts w:ascii="Times New Roman" w:eastAsia="Times New Roman" w:hAnsi="Times New Roman"/>
          <w:bCs/>
          <w:sz w:val="24"/>
          <w:szCs w:val="24"/>
          <w:lang w:val="tr-TR" w:eastAsia="en-US"/>
        </w:rPr>
        <w:t>,</w:t>
      </w:r>
    </w:p>
    <w:p w:rsidR="002C5308" w:rsidRPr="001F6006" w:rsidRDefault="002C5308" w:rsidP="002C5308">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j:</w:t>
      </w:r>
      <w:r w:rsidRPr="001F6006">
        <w:rPr>
          <w:rFonts w:ascii="Times New Roman" w:eastAsia="Times New Roman" w:hAnsi="Times New Roman"/>
          <w:bCs/>
          <w:sz w:val="24"/>
          <w:szCs w:val="24"/>
          <w:lang w:val="tr-TR" w:eastAsia="en-US"/>
        </w:rPr>
        <w:t xml:space="preserve"> Her bir kaynak türünü,</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k:</w:t>
      </w:r>
      <w:r w:rsidR="00B448D1" w:rsidRPr="001F6006">
        <w:rPr>
          <w:rFonts w:ascii="Times New Roman" w:eastAsia="Times New Roman" w:hAnsi="Times New Roman"/>
          <w:bCs/>
          <w:sz w:val="24"/>
          <w:szCs w:val="24"/>
          <w:lang w:val="tr-TR" w:eastAsia="en-US"/>
        </w:rPr>
        <w:t xml:space="preserve"> “</w:t>
      </w:r>
      <w:r w:rsidR="00F70CCC" w:rsidRPr="001F6006">
        <w:rPr>
          <w:rFonts w:ascii="Times New Roman" w:eastAsia="Times New Roman" w:hAnsi="Times New Roman"/>
          <w:bCs/>
          <w:sz w:val="24"/>
          <w:szCs w:val="24"/>
          <w:lang w:val="tr-TR" w:eastAsia="en-US"/>
        </w:rPr>
        <w:t>f</w:t>
      </w:r>
      <w:r w:rsidRPr="001F6006">
        <w:rPr>
          <w:rFonts w:ascii="Times New Roman" w:eastAsia="Times New Roman" w:hAnsi="Times New Roman"/>
          <w:bCs/>
          <w:sz w:val="24"/>
          <w:szCs w:val="24"/>
          <w:lang w:val="tr-TR" w:eastAsia="en-US"/>
        </w:rPr>
        <w:t>” döneminde, nihai piyasa takas fiyatının “i” santralinin ait olduğu kaynak türü için belirlenen değişken maliyet bileşeninden küçük ya da bu bileşene eşit olduğu uzlaştırma dönemlerinin sayısını,</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m:</w:t>
      </w:r>
      <w:r w:rsidR="00B448D1" w:rsidRPr="001F6006">
        <w:rPr>
          <w:rFonts w:ascii="Times New Roman" w:eastAsia="Times New Roman" w:hAnsi="Times New Roman"/>
          <w:bCs/>
          <w:sz w:val="24"/>
          <w:szCs w:val="24"/>
          <w:lang w:val="tr-TR" w:eastAsia="en-US"/>
        </w:rPr>
        <w:t xml:space="preserve"> “</w:t>
      </w:r>
      <w:r w:rsidR="00F70CCC" w:rsidRPr="001F6006">
        <w:rPr>
          <w:rFonts w:ascii="Times New Roman" w:eastAsia="Times New Roman" w:hAnsi="Times New Roman"/>
          <w:bCs/>
          <w:sz w:val="24"/>
          <w:szCs w:val="24"/>
          <w:lang w:val="tr-TR" w:eastAsia="en-US"/>
        </w:rPr>
        <w:t>f</w:t>
      </w:r>
      <w:r w:rsidRPr="001F6006">
        <w:rPr>
          <w:rFonts w:ascii="Times New Roman" w:eastAsia="Times New Roman" w:hAnsi="Times New Roman"/>
          <w:bCs/>
          <w:sz w:val="24"/>
          <w:szCs w:val="24"/>
          <w:lang w:val="tr-TR" w:eastAsia="en-US"/>
        </w:rPr>
        <w:t>” döneminde, nihai piyasa takas fiyatının “i” santralinin ait olduğu kaynak türü için belirlenen değişken maliyet bileşeninden küçük ya da bu bileşene eşit olduğu her bir uzlaştırma dönemini,</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l</w:t>
      </w:r>
      <w:r w:rsidR="00F70CCC" w:rsidRPr="001F6006">
        <w:rPr>
          <w:rFonts w:ascii="Times New Roman" w:eastAsia="Times New Roman" w:hAnsi="Times New Roman"/>
          <w:bCs/>
          <w:sz w:val="24"/>
          <w:szCs w:val="24"/>
          <w:lang w:val="tr-TR" w:eastAsia="en-US"/>
        </w:rPr>
        <w:t>: “f</w:t>
      </w:r>
      <w:r w:rsidRPr="001F6006">
        <w:rPr>
          <w:rFonts w:ascii="Times New Roman" w:eastAsia="Times New Roman" w:hAnsi="Times New Roman"/>
          <w:bCs/>
          <w:sz w:val="24"/>
          <w:szCs w:val="24"/>
          <w:lang w:val="tr-TR" w:eastAsia="en-US"/>
        </w:rPr>
        <w:t>” döneminde, nihai piyasa takas fiyatının “i” santralinin ait olduğu kaynak türü için belirlenen değişken maliyet bileşeninden büyük, toplam maliyet bileşeninden küçük olduğu uzlaştırma dönemlerinin sayısını,</w:t>
      </w:r>
    </w:p>
    <w:p w:rsidR="003F4ADC"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n:</w:t>
      </w:r>
      <w:r w:rsidRPr="001F6006">
        <w:rPr>
          <w:rFonts w:ascii="Times New Roman" w:eastAsia="Times New Roman" w:hAnsi="Times New Roman"/>
          <w:bCs/>
          <w:sz w:val="24"/>
          <w:szCs w:val="24"/>
          <w:lang w:val="tr-TR" w:eastAsia="en-US"/>
        </w:rPr>
        <w:t xml:space="preserve"> “</w:t>
      </w:r>
      <w:r w:rsidR="00F70CCC" w:rsidRPr="001F6006">
        <w:rPr>
          <w:rFonts w:ascii="Times New Roman" w:eastAsia="Times New Roman" w:hAnsi="Times New Roman"/>
          <w:bCs/>
          <w:sz w:val="24"/>
          <w:szCs w:val="24"/>
          <w:lang w:val="tr-TR" w:eastAsia="en-US"/>
        </w:rPr>
        <w:t>f</w:t>
      </w:r>
      <w:r w:rsidRPr="001F6006">
        <w:rPr>
          <w:rFonts w:ascii="Times New Roman" w:eastAsia="Times New Roman" w:hAnsi="Times New Roman"/>
          <w:bCs/>
          <w:sz w:val="24"/>
          <w:szCs w:val="24"/>
          <w:lang w:val="tr-TR" w:eastAsia="en-US"/>
        </w:rPr>
        <w:t>” döneminde, nihai piyasa takas fiyatının “i” santralinin ait olduğu kaynak türü için belirlenen değişken maliyet bileşeninden büyük, toplam maliyet bileşeninden küçük olduğu her bir uzlaştırma dönemini,</w:t>
      </w:r>
    </w:p>
    <w:p w:rsidR="00600EBC" w:rsidRPr="001F6006" w:rsidRDefault="00600EBC"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t:</w:t>
      </w:r>
      <w:r w:rsidRPr="001F6006">
        <w:rPr>
          <w:rFonts w:ascii="Times New Roman" w:eastAsia="Times New Roman" w:hAnsi="Times New Roman"/>
          <w:bCs/>
          <w:sz w:val="24"/>
          <w:szCs w:val="24"/>
          <w:lang w:val="tr-TR" w:eastAsia="en-US"/>
        </w:rPr>
        <w:t xml:space="preserve"> Her bir teklif bölgesini,</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KÖ</w:t>
      </w:r>
      <w:r w:rsidRPr="001F6006">
        <w:rPr>
          <w:rFonts w:ascii="Times New Roman" w:eastAsia="Times New Roman" w:hAnsi="Times New Roman"/>
          <w:b/>
          <w:bCs/>
          <w:sz w:val="24"/>
          <w:szCs w:val="24"/>
          <w:vertAlign w:val="subscript"/>
          <w:lang w:val="tr-TR" w:eastAsia="en-US"/>
        </w:rPr>
        <w:t>i,</w:t>
      </w:r>
      <w:r w:rsidR="003F77A1" w:rsidRPr="001F6006">
        <w:rPr>
          <w:rFonts w:ascii="Times New Roman" w:eastAsia="Times New Roman" w:hAnsi="Times New Roman"/>
          <w:b/>
          <w:bCs/>
          <w:sz w:val="24"/>
          <w:szCs w:val="24"/>
          <w:vertAlign w:val="subscript"/>
          <w:lang w:val="tr-TR" w:eastAsia="en-US"/>
        </w:rPr>
        <w:t>f</w:t>
      </w:r>
      <w:r w:rsidRPr="001F6006">
        <w:rPr>
          <w:rFonts w:ascii="Times New Roman" w:eastAsia="Times New Roman" w:hAnsi="Times New Roman"/>
          <w:b/>
          <w:bCs/>
          <w:sz w:val="24"/>
          <w:szCs w:val="24"/>
          <w:lang w:val="tr-TR" w:eastAsia="en-US"/>
        </w:rPr>
        <w:t>:</w:t>
      </w:r>
      <w:r w:rsidRPr="001F6006">
        <w:rPr>
          <w:rFonts w:ascii="Times New Roman" w:eastAsia="Times New Roman" w:hAnsi="Times New Roman"/>
          <w:bCs/>
          <w:sz w:val="24"/>
          <w:szCs w:val="24"/>
          <w:lang w:val="tr-TR" w:eastAsia="en-US"/>
        </w:rPr>
        <w:t xml:space="preserve"> Kapasite mekanizmasına da</w:t>
      </w:r>
      <w:r w:rsidR="00B448D1" w:rsidRPr="001F6006">
        <w:rPr>
          <w:rFonts w:ascii="Times New Roman" w:eastAsia="Times New Roman" w:hAnsi="Times New Roman"/>
          <w:bCs/>
          <w:sz w:val="24"/>
          <w:szCs w:val="24"/>
          <w:lang w:val="tr-TR" w:eastAsia="en-US"/>
        </w:rPr>
        <w:t xml:space="preserve">hil olan </w:t>
      </w:r>
      <w:r w:rsidR="00F70CCC" w:rsidRPr="001F6006">
        <w:rPr>
          <w:rFonts w:ascii="Times New Roman" w:eastAsia="Times New Roman" w:hAnsi="Times New Roman"/>
          <w:bCs/>
          <w:sz w:val="24"/>
          <w:szCs w:val="24"/>
          <w:lang w:val="tr-TR" w:eastAsia="en-US"/>
        </w:rPr>
        <w:t>“i” üretim tesisine  “f</w:t>
      </w:r>
      <w:r w:rsidRPr="001F6006">
        <w:rPr>
          <w:rFonts w:ascii="Times New Roman" w:eastAsia="Times New Roman" w:hAnsi="Times New Roman"/>
          <w:bCs/>
          <w:sz w:val="24"/>
          <w:szCs w:val="24"/>
          <w:lang w:val="tr-TR" w:eastAsia="en-US"/>
        </w:rPr>
        <w:t>” dönemi için ödenecek toplam bedeli (TL),</w:t>
      </w:r>
    </w:p>
    <w:p w:rsidR="00600EBC" w:rsidRPr="001F6006" w:rsidRDefault="00600EBC" w:rsidP="00600EBC">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lastRenderedPageBreak/>
        <w:t>ÖKO</w:t>
      </w:r>
      <w:r w:rsidRPr="001F6006">
        <w:rPr>
          <w:rFonts w:ascii="Times New Roman" w:eastAsia="Times New Roman" w:hAnsi="Times New Roman"/>
          <w:b/>
          <w:bCs/>
          <w:sz w:val="24"/>
          <w:szCs w:val="24"/>
          <w:vertAlign w:val="subscript"/>
          <w:lang w:val="tr-TR" w:eastAsia="en-US"/>
        </w:rPr>
        <w:t>i</w:t>
      </w:r>
      <w:r w:rsidRPr="001F6006">
        <w:rPr>
          <w:rFonts w:ascii="Times New Roman" w:eastAsia="Times New Roman" w:hAnsi="Times New Roman"/>
          <w:bCs/>
          <w:sz w:val="24"/>
          <w:szCs w:val="24"/>
          <w:lang w:val="tr-TR" w:eastAsia="en-US"/>
        </w:rPr>
        <w:t xml:space="preserve"> : i santralinin kaynak türü için belirlenmiş </w:t>
      </w:r>
      <w:r w:rsidR="00BD07E0" w:rsidRPr="001F6006">
        <w:rPr>
          <w:rFonts w:ascii="Times New Roman" w:eastAsia="Times New Roman" w:hAnsi="Times New Roman"/>
          <w:bCs/>
          <w:sz w:val="24"/>
          <w:szCs w:val="24"/>
          <w:lang w:val="tr-TR" w:eastAsia="en-US"/>
        </w:rPr>
        <w:t>olan ve sabit maliyet bileşeni hesaplamasında kullanılan</w:t>
      </w:r>
      <w:r w:rsidRPr="001F6006">
        <w:rPr>
          <w:rFonts w:ascii="Times New Roman" w:eastAsia="Times New Roman" w:hAnsi="Times New Roman"/>
          <w:bCs/>
          <w:sz w:val="24"/>
          <w:szCs w:val="24"/>
          <w:lang w:val="tr-TR" w:eastAsia="en-US"/>
        </w:rPr>
        <w:t xml:space="preserve"> kapasite kullanım oranını,</w:t>
      </w:r>
    </w:p>
    <w:p w:rsidR="00A27563" w:rsidRPr="001F6006" w:rsidRDefault="00AA08C4" w:rsidP="00A27563">
      <w:pPr>
        <w:tabs>
          <w:tab w:val="left" w:pos="369"/>
        </w:tabs>
        <w:spacing w:after="0" w:line="240" w:lineRule="auto"/>
        <w:jc w:val="both"/>
        <w:rPr>
          <w:rFonts w:ascii="Times New Roman" w:eastAsia="Times New Roman" w:hAnsi="Times New Roman"/>
          <w:bCs/>
          <w:sz w:val="24"/>
          <w:szCs w:val="24"/>
          <w:lang w:val="tr-TR" w:eastAsia="en-US"/>
        </w:rPr>
      </w:pPr>
      <w:r w:rsidRPr="00105211">
        <w:rPr>
          <w:rFonts w:ascii="Times New Roman" w:eastAsia="Times New Roman" w:hAnsi="Times New Roman"/>
          <w:b/>
          <w:bCs/>
          <w:sz w:val="24"/>
          <w:szCs w:val="24"/>
          <w:lang w:val="tr-TR" w:eastAsia="en-US"/>
        </w:rPr>
        <w:t>KG</w:t>
      </w:r>
      <w:r w:rsidR="00A27563" w:rsidRPr="00105211">
        <w:rPr>
          <w:rFonts w:ascii="Times New Roman" w:eastAsia="Times New Roman" w:hAnsi="Times New Roman"/>
          <w:b/>
          <w:bCs/>
          <w:sz w:val="24"/>
          <w:szCs w:val="24"/>
          <w:vertAlign w:val="subscript"/>
          <w:lang w:val="tr-TR" w:eastAsia="en-US"/>
        </w:rPr>
        <w:t>i</w:t>
      </w:r>
      <w:r w:rsidR="00A27563" w:rsidRPr="00105211">
        <w:rPr>
          <w:rFonts w:ascii="Times New Roman" w:eastAsia="Times New Roman" w:hAnsi="Times New Roman"/>
          <w:b/>
          <w:bCs/>
          <w:sz w:val="24"/>
          <w:szCs w:val="24"/>
          <w:lang w:val="tr-TR" w:eastAsia="en-US"/>
        </w:rPr>
        <w:t>:</w:t>
      </w:r>
      <w:r w:rsidR="00F70CCC" w:rsidRPr="001F6006">
        <w:rPr>
          <w:rFonts w:ascii="Times New Roman" w:eastAsia="Times New Roman" w:hAnsi="Times New Roman"/>
          <w:bCs/>
          <w:sz w:val="24"/>
          <w:szCs w:val="24"/>
          <w:lang w:val="tr-TR" w:eastAsia="en-US"/>
        </w:rPr>
        <w:t xml:space="preserve"> “i” santralinin </w:t>
      </w:r>
      <w:r w:rsidR="00A27563" w:rsidRPr="001F6006">
        <w:rPr>
          <w:rFonts w:ascii="Times New Roman" w:eastAsia="Times New Roman" w:hAnsi="Times New Roman"/>
          <w:bCs/>
          <w:sz w:val="24"/>
          <w:szCs w:val="24"/>
          <w:lang w:val="tr-TR" w:eastAsia="en-US"/>
        </w:rPr>
        <w:t>kapasite</w:t>
      </w:r>
      <w:r w:rsidR="002C5308" w:rsidRPr="001F6006">
        <w:rPr>
          <w:rFonts w:ascii="Times New Roman" w:eastAsia="Times New Roman" w:hAnsi="Times New Roman"/>
          <w:bCs/>
          <w:sz w:val="24"/>
          <w:szCs w:val="24"/>
          <w:lang w:val="tr-TR" w:eastAsia="en-US"/>
        </w:rPr>
        <w:t>s</w:t>
      </w:r>
      <w:r w:rsidR="00A27563" w:rsidRPr="001F6006">
        <w:rPr>
          <w:rFonts w:ascii="Times New Roman" w:eastAsia="Times New Roman" w:hAnsi="Times New Roman"/>
          <w:bCs/>
          <w:sz w:val="24"/>
          <w:szCs w:val="24"/>
          <w:lang w:val="tr-TR" w:eastAsia="en-US"/>
        </w:rPr>
        <w:t>i</w:t>
      </w:r>
      <w:r w:rsidR="002C5308" w:rsidRPr="001F6006">
        <w:rPr>
          <w:rFonts w:ascii="Times New Roman" w:eastAsia="Times New Roman" w:hAnsi="Times New Roman"/>
          <w:bCs/>
          <w:sz w:val="24"/>
          <w:szCs w:val="24"/>
          <w:lang w:val="tr-TR" w:eastAsia="en-US"/>
        </w:rPr>
        <w:t>ni</w:t>
      </w:r>
      <w:r w:rsidR="00A27563" w:rsidRPr="001F6006">
        <w:rPr>
          <w:rFonts w:ascii="Times New Roman" w:eastAsia="Times New Roman" w:hAnsi="Times New Roman"/>
          <w:bCs/>
          <w:sz w:val="24"/>
          <w:szCs w:val="24"/>
          <w:lang w:val="tr-TR" w:eastAsia="en-US"/>
        </w:rPr>
        <w:t xml:space="preserve"> (MW),</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SMB</w:t>
      </w:r>
      <w:r w:rsidR="00F70CCC" w:rsidRPr="001F6006">
        <w:rPr>
          <w:rFonts w:ascii="Times New Roman" w:eastAsia="Times New Roman" w:hAnsi="Times New Roman"/>
          <w:b/>
          <w:bCs/>
          <w:sz w:val="24"/>
          <w:szCs w:val="24"/>
          <w:vertAlign w:val="subscript"/>
          <w:lang w:val="tr-TR" w:eastAsia="en-US"/>
        </w:rPr>
        <w:t>f</w:t>
      </w:r>
      <w:r w:rsidRPr="001F6006">
        <w:rPr>
          <w:rFonts w:ascii="Times New Roman" w:eastAsia="Times New Roman" w:hAnsi="Times New Roman"/>
          <w:b/>
          <w:bCs/>
          <w:sz w:val="24"/>
          <w:szCs w:val="24"/>
          <w:vertAlign w:val="subscript"/>
          <w:lang w:val="tr-TR" w:eastAsia="en-US"/>
        </w:rPr>
        <w:t>,j</w:t>
      </w:r>
      <w:r w:rsidRPr="001F6006">
        <w:rPr>
          <w:rFonts w:ascii="Times New Roman" w:eastAsia="Times New Roman" w:hAnsi="Times New Roman"/>
          <w:b/>
          <w:bCs/>
          <w:sz w:val="24"/>
          <w:szCs w:val="24"/>
          <w:lang w:val="tr-TR" w:eastAsia="en-US"/>
        </w:rPr>
        <w:t>:</w:t>
      </w:r>
      <w:r w:rsidR="00F70CCC" w:rsidRPr="001F6006">
        <w:rPr>
          <w:rFonts w:ascii="Times New Roman" w:eastAsia="Times New Roman" w:hAnsi="Times New Roman"/>
          <w:bCs/>
          <w:sz w:val="24"/>
          <w:szCs w:val="24"/>
          <w:lang w:val="tr-TR" w:eastAsia="en-US"/>
        </w:rPr>
        <w:t xml:space="preserve"> “f</w:t>
      </w:r>
      <w:r w:rsidRPr="001F6006">
        <w:rPr>
          <w:rFonts w:ascii="Times New Roman" w:eastAsia="Times New Roman" w:hAnsi="Times New Roman"/>
          <w:bCs/>
          <w:sz w:val="24"/>
          <w:szCs w:val="24"/>
          <w:lang w:val="tr-TR" w:eastAsia="en-US"/>
        </w:rPr>
        <w:t>” dönemi için geçerli olmak üzere “j” kaynak türü için belirlenen sabit maliyet bileşenini (TL/MWh),</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TMB</w:t>
      </w:r>
      <w:r w:rsidR="00F70CCC" w:rsidRPr="001F6006">
        <w:rPr>
          <w:rFonts w:ascii="Times New Roman" w:eastAsia="Times New Roman" w:hAnsi="Times New Roman"/>
          <w:b/>
          <w:bCs/>
          <w:sz w:val="24"/>
          <w:szCs w:val="24"/>
          <w:vertAlign w:val="subscript"/>
          <w:lang w:val="tr-TR" w:eastAsia="en-US"/>
        </w:rPr>
        <w:t>f</w:t>
      </w:r>
      <w:r w:rsidRPr="001F6006">
        <w:rPr>
          <w:rFonts w:ascii="Times New Roman" w:eastAsia="Times New Roman" w:hAnsi="Times New Roman"/>
          <w:b/>
          <w:bCs/>
          <w:sz w:val="24"/>
          <w:szCs w:val="24"/>
          <w:vertAlign w:val="subscript"/>
          <w:lang w:val="tr-TR" w:eastAsia="en-US"/>
        </w:rPr>
        <w:t>,j</w:t>
      </w:r>
      <w:r w:rsidRPr="001F6006">
        <w:rPr>
          <w:rFonts w:ascii="Times New Roman" w:eastAsia="Times New Roman" w:hAnsi="Times New Roman"/>
          <w:b/>
          <w:bCs/>
          <w:sz w:val="24"/>
          <w:szCs w:val="24"/>
          <w:lang w:val="tr-TR" w:eastAsia="en-US"/>
        </w:rPr>
        <w:t>:</w:t>
      </w:r>
      <w:r w:rsidR="00F70CCC" w:rsidRPr="001F6006">
        <w:rPr>
          <w:rFonts w:ascii="Times New Roman" w:eastAsia="Times New Roman" w:hAnsi="Times New Roman"/>
          <w:bCs/>
          <w:sz w:val="24"/>
          <w:szCs w:val="24"/>
          <w:lang w:val="tr-TR" w:eastAsia="en-US"/>
        </w:rPr>
        <w:t xml:space="preserve"> “f</w:t>
      </w:r>
      <w:r w:rsidRPr="001F6006">
        <w:rPr>
          <w:rFonts w:ascii="Times New Roman" w:eastAsia="Times New Roman" w:hAnsi="Times New Roman"/>
          <w:bCs/>
          <w:sz w:val="24"/>
          <w:szCs w:val="24"/>
          <w:lang w:val="tr-TR" w:eastAsia="en-US"/>
        </w:rPr>
        <w:t>” dönemi için geçerli olmak üzere “j” kaynak türü için belirlenen toplam maliyet bileşenini (TL/MWh),</w:t>
      </w:r>
      <w:r w:rsidRPr="001F6006" w:rsidDel="00BD0C3A">
        <w:rPr>
          <w:rFonts w:ascii="Times New Roman" w:eastAsia="Times New Roman" w:hAnsi="Times New Roman"/>
          <w:b/>
          <w:bCs/>
          <w:sz w:val="24"/>
          <w:szCs w:val="24"/>
          <w:lang w:val="tr-TR" w:eastAsia="en-US"/>
        </w:rPr>
        <w:t xml:space="preserve"> </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PTF</w:t>
      </w:r>
      <w:r w:rsidRPr="001F6006">
        <w:rPr>
          <w:rFonts w:ascii="Times New Roman" w:eastAsia="Times New Roman" w:hAnsi="Times New Roman"/>
          <w:b/>
          <w:bCs/>
          <w:sz w:val="24"/>
          <w:szCs w:val="24"/>
          <w:vertAlign w:val="subscript"/>
          <w:lang w:val="tr-TR" w:eastAsia="en-US"/>
        </w:rPr>
        <w:t>t,</w:t>
      </w:r>
      <w:r w:rsidR="00F70CCC" w:rsidRPr="001F6006">
        <w:rPr>
          <w:rFonts w:ascii="Times New Roman" w:eastAsia="Times New Roman" w:hAnsi="Times New Roman"/>
          <w:b/>
          <w:bCs/>
          <w:sz w:val="24"/>
          <w:szCs w:val="24"/>
          <w:vertAlign w:val="subscript"/>
          <w:lang w:val="tr-TR" w:eastAsia="en-US"/>
        </w:rPr>
        <w:t>f</w:t>
      </w:r>
      <w:r w:rsidR="00B448D1" w:rsidRPr="001F6006">
        <w:rPr>
          <w:rFonts w:ascii="Times New Roman" w:eastAsia="Times New Roman" w:hAnsi="Times New Roman"/>
          <w:b/>
          <w:bCs/>
          <w:sz w:val="24"/>
          <w:szCs w:val="24"/>
          <w:vertAlign w:val="subscript"/>
          <w:lang w:val="tr-TR" w:eastAsia="en-US"/>
        </w:rPr>
        <w:t>,</w:t>
      </w:r>
      <w:r w:rsidRPr="001F6006">
        <w:rPr>
          <w:rFonts w:ascii="Times New Roman" w:eastAsia="Times New Roman" w:hAnsi="Times New Roman"/>
          <w:b/>
          <w:bCs/>
          <w:sz w:val="24"/>
          <w:szCs w:val="24"/>
          <w:vertAlign w:val="subscript"/>
          <w:lang w:val="tr-TR" w:eastAsia="en-US"/>
        </w:rPr>
        <w:t>n</w:t>
      </w:r>
      <w:r w:rsidRPr="001F6006">
        <w:rPr>
          <w:rFonts w:ascii="Times New Roman" w:eastAsia="Times New Roman" w:hAnsi="Times New Roman"/>
          <w:b/>
          <w:bCs/>
          <w:sz w:val="24"/>
          <w:szCs w:val="24"/>
          <w:lang w:val="tr-TR" w:eastAsia="en-US"/>
        </w:rPr>
        <w:t>:</w:t>
      </w:r>
      <w:r w:rsidRPr="001F6006">
        <w:rPr>
          <w:rFonts w:ascii="Times New Roman" w:eastAsia="Times New Roman" w:hAnsi="Times New Roman"/>
          <w:bCs/>
          <w:sz w:val="24"/>
          <w:szCs w:val="24"/>
          <w:lang w:val="tr-TR" w:eastAsia="en-US"/>
        </w:rPr>
        <w:t xml:space="preserve"> “t”</w:t>
      </w:r>
      <w:r w:rsidR="00F70CCC" w:rsidRPr="001F6006">
        <w:rPr>
          <w:rFonts w:ascii="Times New Roman" w:eastAsia="Times New Roman" w:hAnsi="Times New Roman"/>
          <w:bCs/>
          <w:sz w:val="24"/>
          <w:szCs w:val="24"/>
          <w:lang w:val="tr-TR" w:eastAsia="en-US"/>
        </w:rPr>
        <w:t xml:space="preserve"> teklif bölgesi için “f</w:t>
      </w:r>
      <w:r w:rsidR="00B448D1" w:rsidRPr="001F6006">
        <w:rPr>
          <w:rFonts w:ascii="Times New Roman" w:eastAsia="Times New Roman" w:hAnsi="Times New Roman"/>
          <w:bCs/>
          <w:sz w:val="24"/>
          <w:szCs w:val="24"/>
          <w:lang w:val="tr-TR" w:eastAsia="en-US"/>
        </w:rPr>
        <w:t>”</w:t>
      </w:r>
      <w:r w:rsidRPr="001F6006">
        <w:rPr>
          <w:rFonts w:ascii="Times New Roman" w:eastAsia="Times New Roman" w:hAnsi="Times New Roman"/>
          <w:bCs/>
          <w:sz w:val="24"/>
          <w:szCs w:val="24"/>
          <w:lang w:val="tr-TR" w:eastAsia="en-US"/>
        </w:rPr>
        <w:t xml:space="preserve"> döneminin “n” uzlaştırma dönemine ilişkin Gün Öncesi Piyasası</w:t>
      </w:r>
      <w:r w:rsidR="00DD0E33" w:rsidRPr="001F6006">
        <w:rPr>
          <w:rFonts w:ascii="Times New Roman" w:eastAsia="Times New Roman" w:hAnsi="Times New Roman"/>
          <w:bCs/>
          <w:sz w:val="24"/>
          <w:szCs w:val="24"/>
          <w:lang w:val="tr-TR" w:eastAsia="en-US"/>
        </w:rPr>
        <w:t>nda</w:t>
      </w:r>
      <w:r w:rsidRPr="001F6006">
        <w:rPr>
          <w:rFonts w:ascii="Times New Roman" w:eastAsia="Times New Roman" w:hAnsi="Times New Roman"/>
          <w:bCs/>
          <w:sz w:val="24"/>
          <w:szCs w:val="24"/>
          <w:lang w:val="tr-TR" w:eastAsia="en-US"/>
        </w:rPr>
        <w:t xml:space="preserve"> hesaplanan Piyasa Takas  Fiyatını (TL/MWh)</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ifade eder.</w:t>
      </w:r>
    </w:p>
    <w:p w:rsidR="009F2D26" w:rsidRDefault="009F2D26" w:rsidP="00A27563">
      <w:pPr>
        <w:tabs>
          <w:tab w:val="left" w:pos="369"/>
        </w:tabs>
        <w:spacing w:after="0" w:line="240" w:lineRule="auto"/>
        <w:jc w:val="both"/>
        <w:rPr>
          <w:rFonts w:ascii="Times New Roman" w:eastAsia="Times New Roman" w:hAnsi="Times New Roman"/>
          <w:b/>
          <w:bCs/>
          <w:sz w:val="24"/>
          <w:szCs w:val="24"/>
          <w:lang w:val="tr-TR" w:eastAsia="en-US"/>
        </w:rPr>
      </w:pPr>
    </w:p>
    <w:p w:rsidR="00D77689" w:rsidRPr="001F6006" w:rsidRDefault="00D77689" w:rsidP="00A27563">
      <w:pPr>
        <w:tabs>
          <w:tab w:val="left" w:pos="369"/>
        </w:tabs>
        <w:spacing w:after="0" w:line="240" w:lineRule="auto"/>
        <w:jc w:val="both"/>
        <w:rPr>
          <w:rFonts w:ascii="Times New Roman" w:eastAsia="Times New Roman" w:hAnsi="Times New Roman"/>
          <w:b/>
          <w:bCs/>
          <w:sz w:val="24"/>
          <w:szCs w:val="24"/>
          <w:lang w:val="tr-TR" w:eastAsia="en-US"/>
        </w:rPr>
      </w:pPr>
    </w:p>
    <w:p w:rsidR="00F0673E" w:rsidRPr="001F6006" w:rsidRDefault="00F0673E" w:rsidP="00F0673E">
      <w:pPr>
        <w:spacing w:after="0"/>
        <w:jc w:val="both"/>
        <w:rPr>
          <w:rFonts w:ascii="Times New Roman" w:eastAsia="Times New Roman" w:hAnsi="Times New Roman"/>
          <w:b/>
          <w:sz w:val="24"/>
          <w:szCs w:val="24"/>
          <w:lang w:val="tr-TR" w:eastAsia="en-US"/>
        </w:rPr>
      </w:pPr>
      <w:r w:rsidRPr="001F6006">
        <w:rPr>
          <w:rFonts w:ascii="Times New Roman" w:eastAsia="Times New Roman" w:hAnsi="Times New Roman"/>
          <w:b/>
          <w:sz w:val="24"/>
          <w:szCs w:val="24"/>
          <w:lang w:val="tr-TR" w:eastAsia="en-US"/>
        </w:rPr>
        <w:t>Kapasite ödemelerinin gerçekleştirilmesi</w:t>
      </w:r>
    </w:p>
    <w:p w:rsidR="00BB21BB" w:rsidRPr="001F6006" w:rsidRDefault="00F0673E" w:rsidP="00A27563">
      <w:pPr>
        <w:tabs>
          <w:tab w:val="left" w:pos="369"/>
        </w:tabs>
        <w:spacing w:after="0" w:line="240" w:lineRule="auto"/>
        <w:jc w:val="both"/>
        <w:rPr>
          <w:rFonts w:ascii="Times New Roman" w:eastAsia="Times New Roman" w:hAnsi="Times New Roman"/>
          <w:b/>
          <w:sz w:val="24"/>
          <w:szCs w:val="24"/>
          <w:lang w:val="tr-TR" w:eastAsia="en-US"/>
        </w:rPr>
      </w:pPr>
      <w:r w:rsidRPr="001F6006">
        <w:rPr>
          <w:rFonts w:ascii="Times New Roman" w:eastAsia="Times New Roman" w:hAnsi="Times New Roman"/>
          <w:b/>
          <w:sz w:val="24"/>
          <w:szCs w:val="24"/>
          <w:lang w:val="tr-TR" w:eastAsia="en-US"/>
        </w:rPr>
        <w:t xml:space="preserve">MADDE 9 – </w:t>
      </w:r>
      <w:r w:rsidR="00BB21BB" w:rsidRPr="001F6006">
        <w:rPr>
          <w:rFonts w:ascii="Times New Roman" w:eastAsia="Times New Roman" w:hAnsi="Times New Roman"/>
          <w:sz w:val="24"/>
          <w:szCs w:val="24"/>
          <w:lang w:val="tr-TR" w:eastAsia="en-US"/>
        </w:rPr>
        <w:t>(1) Üretim tesislerine yapılacak kapasite ödemeleri ilgili fatura döneminin sonunu takip eden 15 gün içerisinde hesaplanarak ilgili lisans sahibi tüzel kişilere bildirilir (ve internet sayfasında duyurulur) ve 30 gün içerisinde gerçekleştirilir.</w:t>
      </w:r>
    </w:p>
    <w:p w:rsidR="00BB21BB" w:rsidRPr="001F6006" w:rsidRDefault="00BB21BB" w:rsidP="00A27563">
      <w:pPr>
        <w:tabs>
          <w:tab w:val="left" w:pos="369"/>
        </w:tabs>
        <w:spacing w:after="0" w:line="240" w:lineRule="auto"/>
        <w:jc w:val="both"/>
        <w:rPr>
          <w:rFonts w:ascii="Times New Roman" w:eastAsia="Times New Roman" w:hAnsi="Times New Roman"/>
          <w:b/>
          <w:sz w:val="24"/>
          <w:szCs w:val="24"/>
          <w:lang w:val="tr-TR" w:eastAsia="en-US"/>
        </w:rPr>
      </w:pP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(2) Her bir fatura dönem</w:t>
      </w:r>
      <w:r w:rsidR="00C62AE8" w:rsidRPr="001F6006">
        <w:rPr>
          <w:rFonts w:ascii="Times New Roman" w:eastAsia="Times New Roman" w:hAnsi="Times New Roman"/>
          <w:bCs/>
          <w:sz w:val="24"/>
          <w:szCs w:val="24"/>
          <w:lang w:val="tr-TR" w:eastAsia="en-US"/>
        </w:rPr>
        <w:t>i</w:t>
      </w:r>
      <w:r w:rsidRPr="001F6006">
        <w:rPr>
          <w:rFonts w:ascii="Times New Roman" w:eastAsia="Times New Roman" w:hAnsi="Times New Roman"/>
          <w:bCs/>
          <w:sz w:val="24"/>
          <w:szCs w:val="24"/>
          <w:lang w:val="tr-TR" w:eastAsia="en-US"/>
        </w:rPr>
        <w:t xml:space="preserve"> için belirlenmiş bütçenin ilgili dönemde kapasite mekanizmasından yararlanan tüm santraller için birinci fıkra uyarınca hesaplanan kapasite ödemelerinin toplamından küçük olması halinde</w:t>
      </w:r>
      <w:r w:rsidR="00C62AE8" w:rsidRPr="001F6006">
        <w:rPr>
          <w:rFonts w:ascii="Times New Roman" w:eastAsia="Times New Roman" w:hAnsi="Times New Roman"/>
          <w:bCs/>
          <w:sz w:val="24"/>
          <w:szCs w:val="24"/>
          <w:lang w:val="tr-TR" w:eastAsia="en-US"/>
        </w:rPr>
        <w:t>,</w:t>
      </w:r>
      <w:r w:rsidRPr="001F6006">
        <w:rPr>
          <w:rFonts w:ascii="Times New Roman" w:eastAsia="Times New Roman" w:hAnsi="Times New Roman"/>
          <w:bCs/>
          <w:sz w:val="24"/>
          <w:szCs w:val="24"/>
          <w:lang w:val="tr-TR" w:eastAsia="en-US"/>
        </w:rPr>
        <w:t xml:space="preserve"> öncelikle yerli kaynaklara dayalı santrallerin kapasite ödemeleri yapılır; kalan tutar olması halinde, diğer santrallere ödenecek kapasite ödemesi aşağıdaki formüle göre hesaplanır. </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p>
    <w:p w:rsidR="00522737" w:rsidRPr="001F6006" w:rsidRDefault="00522737" w:rsidP="00522737">
      <w:pPr>
        <w:tabs>
          <w:tab w:val="left" w:pos="369"/>
        </w:tabs>
        <w:spacing w:after="0"/>
        <w:ind w:firstLine="720"/>
        <w:jc w:val="both"/>
        <w:rPr>
          <w:rFonts w:ascii="Times New Roman" w:eastAsia="Times New Roman" w:hAnsi="Times New Roman"/>
          <w:b/>
          <w:sz w:val="20"/>
          <w:szCs w:val="20"/>
          <w:lang w:val="tr-TR" w:eastAsia="en-US"/>
        </w:rPr>
      </w:pPr>
      <w:r w:rsidRPr="001F6006">
        <w:rPr>
          <w:rFonts w:ascii="Times New Roman" w:eastAsia="Times New Roman" w:hAnsi="Times New Roman"/>
          <w:b/>
          <w:bCs/>
          <w:i/>
          <w:sz w:val="20"/>
          <w:szCs w:val="20"/>
          <w:lang w:val="tr-TR" w:eastAsia="en-US"/>
        </w:rPr>
        <w:t>KKÖ</w:t>
      </w:r>
      <w:r w:rsidRPr="001F6006">
        <w:rPr>
          <w:rFonts w:ascii="Times New Roman" w:eastAsia="Times New Roman" w:hAnsi="Times New Roman"/>
          <w:b/>
          <w:bCs/>
          <w:i/>
          <w:sz w:val="20"/>
          <w:szCs w:val="20"/>
          <w:vertAlign w:val="subscript"/>
          <w:lang w:val="tr-TR" w:eastAsia="en-US"/>
        </w:rPr>
        <w:t xml:space="preserve">d,f </w:t>
      </w:r>
      <w:r w:rsidRPr="001F6006">
        <w:rPr>
          <w:rFonts w:ascii="Times New Roman" w:eastAsia="Times New Roman" w:hAnsi="Times New Roman"/>
          <w:b/>
          <w:bCs/>
          <w:sz w:val="20"/>
          <w:szCs w:val="20"/>
          <w:lang w:val="tr-TR" w:eastAsia="en-US"/>
        </w:rPr>
        <w:t>=</w:t>
      </w:r>
      <m:oMath>
        <m:r>
          <m:rPr>
            <m:sty m:val="bi"/>
          </m:rPr>
          <w:rPr>
            <w:rFonts w:ascii="Cambria Math" w:eastAsia="Times New Roman" w:hAnsi="Cambria Math"/>
            <w:sz w:val="24"/>
            <w:szCs w:val="20"/>
            <w:lang w:val="tr-TR" w:eastAsia="en-US"/>
          </w:rPr>
          <m:t xml:space="preserve"> </m:t>
        </m:r>
        <m:d>
          <m:dPr>
            <m:ctrlPr>
              <w:rPr>
                <w:rFonts w:ascii="Cambria Math" w:eastAsia="Times New Roman" w:hAnsi="Cambria Math"/>
                <w:b/>
                <w:i/>
                <w:sz w:val="24"/>
                <w:szCs w:val="20"/>
                <w:lang w:val="tr-TR" w:eastAsia="en-US"/>
              </w:rPr>
            </m:ctrlPr>
          </m:dPr>
          <m:e>
            <m:sSub>
              <m:sSubPr>
                <m:ctrlPr>
                  <w:rPr>
                    <w:rFonts w:ascii="Cambria Math" w:eastAsia="Times New Roman" w:hAnsi="Cambria Math"/>
                    <w:b/>
                    <w:i/>
                    <w:sz w:val="24"/>
                    <w:szCs w:val="20"/>
                    <w:lang w:val="tr-TR" w:eastAsia="en-US"/>
                  </w:rPr>
                </m:ctrlPr>
              </m:sSubPr>
              <m:e>
                <m:r>
                  <m:rPr>
                    <m:sty m:val="bi"/>
                  </m:rPr>
                  <w:rPr>
                    <w:rFonts w:ascii="Cambria Math" w:eastAsia="Times New Roman" w:hAnsi="Cambria Math"/>
                    <w:sz w:val="24"/>
                    <w:szCs w:val="20"/>
                    <w:lang w:val="tr-TR" w:eastAsia="en-US"/>
                  </w:rPr>
                  <m:t>B</m:t>
                </m:r>
              </m:e>
              <m:sub>
                <m:r>
                  <m:rPr>
                    <m:sty m:val="bi"/>
                  </m:rPr>
                  <w:rPr>
                    <w:rFonts w:ascii="Cambria Math" w:eastAsia="Times New Roman" w:hAnsi="Cambria Math"/>
                    <w:sz w:val="24"/>
                    <w:szCs w:val="20"/>
                    <w:lang w:val="tr-TR" w:eastAsia="en-US"/>
                  </w:rPr>
                  <m:t>f</m:t>
                </m:r>
              </m:sub>
            </m:sSub>
            <m:r>
              <m:rPr>
                <m:sty m:val="bi"/>
              </m:rPr>
              <w:rPr>
                <w:rFonts w:ascii="Cambria Math" w:eastAsia="Times New Roman" w:hAnsi="Cambria Math"/>
                <w:sz w:val="24"/>
                <w:szCs w:val="20"/>
                <w:lang w:val="tr-TR" w:eastAsia="en-US"/>
              </w:rPr>
              <m:t>-</m:t>
            </m:r>
            <m:nary>
              <m:naryPr>
                <m:chr m:val="∑"/>
                <m:limLoc m:val="undOvr"/>
                <m:ctrlPr>
                  <w:rPr>
                    <w:rFonts w:ascii="Cambria Math" w:eastAsia="Times New Roman" w:hAnsi="Cambria Math"/>
                    <w:b/>
                    <w:bCs/>
                    <w:i/>
                    <w:sz w:val="24"/>
                    <w:szCs w:val="20"/>
                    <w:lang w:val="tr-TR" w:eastAsia="en-US"/>
                  </w:rPr>
                </m:ctrlPr>
              </m:naryPr>
              <m:sub>
                <m:r>
                  <m:rPr>
                    <m:sty m:val="bi"/>
                  </m:rPr>
                  <w:rPr>
                    <w:rFonts w:ascii="Cambria Math" w:eastAsia="Times New Roman" w:hAnsi="Cambria Math"/>
                    <w:sz w:val="24"/>
                    <w:szCs w:val="20"/>
                    <w:lang w:val="tr-TR" w:eastAsia="en-US"/>
                  </w:rPr>
                  <m:t>1</m:t>
                </m:r>
              </m:sub>
              <m:sup>
                <m:r>
                  <m:rPr>
                    <m:sty m:val="bi"/>
                  </m:rPr>
                  <w:rPr>
                    <w:rFonts w:ascii="Cambria Math" w:eastAsia="Times New Roman" w:hAnsi="Cambria Math"/>
                    <w:sz w:val="24"/>
                    <w:szCs w:val="20"/>
                    <w:lang w:val="tr-TR" w:eastAsia="en-US"/>
                  </w:rPr>
                  <m:t>h</m:t>
                </m:r>
              </m:sup>
              <m:e>
                <m:sSub>
                  <m:sSubPr>
                    <m:ctrlPr>
                      <w:rPr>
                        <w:rFonts w:ascii="Cambria Math" w:eastAsia="Times New Roman" w:hAnsi="Cambria Math"/>
                        <w:b/>
                        <w:i/>
                        <w:sz w:val="24"/>
                        <w:szCs w:val="20"/>
                        <w:lang w:val="tr-TR" w:eastAsia="en-US"/>
                      </w:rPr>
                    </m:ctrlPr>
                  </m:sSubPr>
                  <m:e>
                    <m:r>
                      <m:rPr>
                        <m:sty m:val="bi"/>
                      </m:rPr>
                      <w:rPr>
                        <w:rFonts w:ascii="Cambria Math" w:eastAsia="Times New Roman" w:hAnsi="Cambria Math"/>
                        <w:sz w:val="24"/>
                        <w:szCs w:val="20"/>
                        <w:lang w:val="tr-TR" w:eastAsia="en-US"/>
                      </w:rPr>
                      <m:t>KÖ</m:t>
                    </m:r>
                  </m:e>
                  <m:sub>
                    <m:r>
                      <m:rPr>
                        <m:sty m:val="bi"/>
                      </m:rPr>
                      <w:rPr>
                        <w:rFonts w:ascii="Cambria Math" w:eastAsia="Times New Roman" w:hAnsi="Cambria Math"/>
                        <w:sz w:val="24"/>
                        <w:szCs w:val="20"/>
                        <w:lang w:val="tr-TR" w:eastAsia="en-US"/>
                      </w:rPr>
                      <m:t>y,f</m:t>
                    </m:r>
                  </m:sub>
                </m:sSub>
              </m:e>
            </m:nary>
          </m:e>
        </m:d>
        <m:r>
          <m:rPr>
            <m:sty m:val="bi"/>
          </m:rPr>
          <w:rPr>
            <w:rFonts w:ascii="Cambria Math" w:eastAsia="Times New Roman" w:hAnsi="Cambria Math"/>
            <w:sz w:val="24"/>
            <w:szCs w:val="20"/>
            <w:lang w:val="tr-TR" w:eastAsia="en-US"/>
          </w:rPr>
          <m:t>*</m:t>
        </m:r>
        <m:f>
          <m:fPr>
            <m:ctrlPr>
              <w:rPr>
                <w:rFonts w:ascii="Cambria Math" w:eastAsia="Times New Roman" w:hAnsi="Cambria Math"/>
                <w:b/>
                <w:i/>
                <w:sz w:val="24"/>
                <w:szCs w:val="20"/>
                <w:lang w:val="tr-TR" w:eastAsia="en-US"/>
              </w:rPr>
            </m:ctrlPr>
          </m:fPr>
          <m:num>
            <m:sSub>
              <m:sSubPr>
                <m:ctrlPr>
                  <w:rPr>
                    <w:rFonts w:ascii="Cambria Math" w:eastAsia="Times New Roman" w:hAnsi="Cambria Math"/>
                    <w:b/>
                    <w:bCs/>
                    <w:i/>
                    <w:sz w:val="24"/>
                    <w:szCs w:val="20"/>
                    <w:lang w:val="tr-TR" w:eastAsia="en-US"/>
                  </w:rPr>
                </m:ctrlPr>
              </m:sSubPr>
              <m:e>
                <m:r>
                  <m:rPr>
                    <m:sty m:val="bi"/>
                  </m:rPr>
                  <w:rPr>
                    <w:rFonts w:ascii="Cambria Math" w:eastAsia="Times New Roman" w:hAnsi="Cambria Math"/>
                    <w:sz w:val="24"/>
                    <w:szCs w:val="20"/>
                    <w:lang w:val="tr-TR" w:eastAsia="en-US"/>
                  </w:rPr>
                  <m:t>KÖ</m:t>
                </m:r>
              </m:e>
              <m:sub>
                <m:r>
                  <m:rPr>
                    <m:sty m:val="bi"/>
                  </m:rPr>
                  <w:rPr>
                    <w:rFonts w:ascii="Cambria Math" w:eastAsia="Times New Roman" w:hAnsi="Cambria Math"/>
                    <w:sz w:val="24"/>
                    <w:szCs w:val="20"/>
                    <w:lang w:val="tr-TR" w:eastAsia="en-US"/>
                  </w:rPr>
                  <m:t>d,f</m:t>
                </m:r>
              </m:sub>
            </m:sSub>
          </m:num>
          <m:den>
            <m:nary>
              <m:naryPr>
                <m:chr m:val="∑"/>
                <m:limLoc m:val="undOvr"/>
                <m:ctrlPr>
                  <w:rPr>
                    <w:rFonts w:ascii="Cambria Math" w:eastAsia="Times New Roman" w:hAnsi="Cambria Math"/>
                    <w:b/>
                    <w:bCs/>
                    <w:i/>
                    <w:sz w:val="24"/>
                    <w:szCs w:val="20"/>
                    <w:lang w:val="tr-TR" w:eastAsia="en-US"/>
                  </w:rPr>
                </m:ctrlPr>
              </m:naryPr>
              <m:sub>
                <m:r>
                  <m:rPr>
                    <m:sty m:val="bi"/>
                  </m:rPr>
                  <w:rPr>
                    <w:rFonts w:ascii="Cambria Math" w:eastAsia="Times New Roman" w:hAnsi="Cambria Math"/>
                    <w:sz w:val="24"/>
                    <w:szCs w:val="20"/>
                    <w:lang w:val="tr-TR" w:eastAsia="en-US"/>
                  </w:rPr>
                  <m:t>1</m:t>
                </m:r>
              </m:sub>
              <m:sup>
                <m:r>
                  <m:rPr>
                    <m:sty m:val="bi"/>
                  </m:rPr>
                  <w:rPr>
                    <w:rFonts w:ascii="Cambria Math" w:eastAsia="Times New Roman" w:hAnsi="Cambria Math"/>
                    <w:sz w:val="24"/>
                    <w:szCs w:val="20"/>
                    <w:lang w:val="tr-TR" w:eastAsia="en-US"/>
                  </w:rPr>
                  <m:t>z</m:t>
                </m:r>
              </m:sup>
              <m:e>
                <m:sSub>
                  <m:sSubPr>
                    <m:ctrlPr>
                      <w:rPr>
                        <w:rFonts w:ascii="Cambria Math" w:eastAsia="Times New Roman" w:hAnsi="Cambria Math"/>
                        <w:b/>
                        <w:i/>
                        <w:sz w:val="24"/>
                        <w:szCs w:val="20"/>
                        <w:lang w:val="tr-TR" w:eastAsia="en-US"/>
                      </w:rPr>
                    </m:ctrlPr>
                  </m:sSubPr>
                  <m:e>
                    <m:r>
                      <m:rPr>
                        <m:sty m:val="bi"/>
                      </m:rPr>
                      <w:rPr>
                        <w:rFonts w:ascii="Cambria Math" w:eastAsia="Times New Roman" w:hAnsi="Cambria Math"/>
                        <w:sz w:val="24"/>
                        <w:szCs w:val="20"/>
                        <w:lang w:val="tr-TR" w:eastAsia="en-US"/>
                      </w:rPr>
                      <m:t>KÖ</m:t>
                    </m:r>
                  </m:e>
                  <m:sub>
                    <m:r>
                      <m:rPr>
                        <m:sty m:val="bi"/>
                      </m:rPr>
                      <w:rPr>
                        <w:rFonts w:ascii="Cambria Math" w:eastAsia="Times New Roman" w:hAnsi="Cambria Math"/>
                        <w:sz w:val="24"/>
                        <w:szCs w:val="20"/>
                        <w:lang w:val="tr-TR" w:eastAsia="en-US"/>
                      </w:rPr>
                      <m:t>d,f</m:t>
                    </m:r>
                  </m:sub>
                </m:sSub>
              </m:e>
            </m:nary>
          </m:den>
        </m:f>
      </m:oMath>
      <w:r w:rsidRPr="001F6006">
        <w:rPr>
          <w:rFonts w:ascii="Times New Roman" w:eastAsia="Times New Roman" w:hAnsi="Times New Roman"/>
          <w:b/>
          <w:sz w:val="20"/>
          <w:szCs w:val="20"/>
          <w:lang w:val="tr-TR" w:eastAsia="en-US"/>
        </w:rPr>
        <w:tab/>
      </w:r>
      <w:r w:rsidRPr="001F6006">
        <w:rPr>
          <w:rFonts w:ascii="Times New Roman" w:eastAsia="Times New Roman" w:hAnsi="Times New Roman"/>
          <w:b/>
          <w:sz w:val="20"/>
          <w:szCs w:val="20"/>
          <w:lang w:val="tr-TR" w:eastAsia="en-US"/>
        </w:rPr>
        <w:tab/>
      </w:r>
      <w:r w:rsidRPr="001F6006">
        <w:rPr>
          <w:rFonts w:ascii="Times New Roman" w:eastAsia="Times New Roman" w:hAnsi="Times New Roman"/>
          <w:b/>
          <w:sz w:val="20"/>
          <w:szCs w:val="20"/>
          <w:lang w:val="tr-TR" w:eastAsia="en-US"/>
        </w:rPr>
        <w:tab/>
        <w:t>(2)</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Bu eşitlikte geçen;</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d: “</w:t>
      </w:r>
      <w:r w:rsidRPr="001F6006">
        <w:rPr>
          <w:rFonts w:ascii="Times New Roman" w:eastAsia="Times New Roman" w:hAnsi="Times New Roman"/>
          <w:bCs/>
          <w:sz w:val="24"/>
          <w:szCs w:val="24"/>
          <w:lang w:val="tr-TR" w:eastAsia="en-US"/>
        </w:rPr>
        <w:t>f” döneminde kapasite mekanizmasında yer alan, yerli olmayan kaynağa dayalı üretim yapan her bir üretim tesisini,</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f:</w:t>
      </w:r>
      <w:r w:rsidRPr="001F6006">
        <w:rPr>
          <w:rFonts w:ascii="Times New Roman" w:eastAsia="Times New Roman" w:hAnsi="Times New Roman"/>
          <w:bCs/>
          <w:sz w:val="24"/>
          <w:szCs w:val="24"/>
          <w:lang w:val="tr-TR" w:eastAsia="en-US"/>
        </w:rPr>
        <w:t xml:space="preserve"> Kapasite mekanizması uygulamasının yapıldığı takvim yılındaki her bir fatura dönemi,</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h:</w:t>
      </w:r>
      <w:r w:rsidRPr="001F6006">
        <w:rPr>
          <w:rFonts w:ascii="Times New Roman" w:eastAsia="Times New Roman" w:hAnsi="Times New Roman"/>
          <w:bCs/>
          <w:sz w:val="24"/>
          <w:szCs w:val="24"/>
          <w:lang w:val="tr-TR" w:eastAsia="en-US"/>
        </w:rPr>
        <w:t xml:space="preserve"> </w:t>
      </w:r>
      <w:r w:rsidRPr="001F6006">
        <w:rPr>
          <w:rFonts w:ascii="Times New Roman" w:eastAsia="Times New Roman" w:hAnsi="Times New Roman"/>
          <w:b/>
          <w:bCs/>
          <w:sz w:val="24"/>
          <w:szCs w:val="24"/>
          <w:lang w:val="tr-TR" w:eastAsia="en-US"/>
        </w:rPr>
        <w:t>“</w:t>
      </w:r>
      <w:r w:rsidRPr="001F6006">
        <w:rPr>
          <w:rFonts w:ascii="Times New Roman" w:eastAsia="Times New Roman" w:hAnsi="Times New Roman"/>
          <w:bCs/>
          <w:sz w:val="24"/>
          <w:szCs w:val="24"/>
          <w:lang w:val="tr-TR" w:eastAsia="en-US"/>
        </w:rPr>
        <w:t>f” döneminde kapasite mekanizmasında yer alan, yerli kaynağa dayalı üretim yapan üretim tesislerinin sayısını,</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y:</w:t>
      </w:r>
      <w:r w:rsidRPr="001F6006">
        <w:rPr>
          <w:rFonts w:ascii="Times New Roman" w:eastAsia="Times New Roman" w:hAnsi="Times New Roman"/>
          <w:bCs/>
          <w:sz w:val="24"/>
          <w:szCs w:val="24"/>
          <w:lang w:val="tr-TR" w:eastAsia="en-US"/>
        </w:rPr>
        <w:t xml:space="preserve"> </w:t>
      </w:r>
      <w:r w:rsidRPr="001F6006">
        <w:rPr>
          <w:rFonts w:ascii="Times New Roman" w:eastAsia="Times New Roman" w:hAnsi="Times New Roman"/>
          <w:b/>
          <w:bCs/>
          <w:sz w:val="24"/>
          <w:szCs w:val="24"/>
          <w:lang w:val="tr-TR" w:eastAsia="en-US"/>
        </w:rPr>
        <w:t>“</w:t>
      </w:r>
      <w:r w:rsidRPr="001F6006">
        <w:rPr>
          <w:rFonts w:ascii="Times New Roman" w:eastAsia="Times New Roman" w:hAnsi="Times New Roman"/>
          <w:bCs/>
          <w:sz w:val="24"/>
          <w:szCs w:val="24"/>
          <w:lang w:val="tr-TR" w:eastAsia="en-US"/>
        </w:rPr>
        <w:t>f” döneminde kapasite mekanizmasında yer alan, yerli kaynağa dayalı üretim yapan her bir üretim tesisini,</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z: “</w:t>
      </w:r>
      <w:r w:rsidRPr="001F6006">
        <w:rPr>
          <w:rFonts w:ascii="Times New Roman" w:eastAsia="Times New Roman" w:hAnsi="Times New Roman"/>
          <w:bCs/>
          <w:sz w:val="24"/>
          <w:szCs w:val="24"/>
          <w:lang w:val="tr-TR" w:eastAsia="en-US"/>
        </w:rPr>
        <w:t>f” döneminde kapasite mekanizmasında yer alan, yerli olmayan kaynağa dayalı üretim yapan üretim tesislerinin sayısını,</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EE7B8D">
        <w:rPr>
          <w:rFonts w:ascii="Times New Roman" w:eastAsia="Times New Roman" w:hAnsi="Times New Roman"/>
          <w:b/>
          <w:bCs/>
          <w:sz w:val="24"/>
          <w:szCs w:val="24"/>
          <w:lang w:val="tr-TR" w:eastAsia="en-US"/>
        </w:rPr>
        <w:t>KKÖ</w:t>
      </w:r>
      <w:r w:rsidRPr="00EE7B8D">
        <w:rPr>
          <w:rFonts w:ascii="Times New Roman" w:eastAsia="Times New Roman" w:hAnsi="Times New Roman"/>
          <w:b/>
          <w:bCs/>
          <w:sz w:val="24"/>
          <w:szCs w:val="24"/>
          <w:vertAlign w:val="subscript"/>
          <w:lang w:val="tr-TR" w:eastAsia="en-US"/>
        </w:rPr>
        <w:t>d,f</w:t>
      </w:r>
      <w:r w:rsidRPr="001F6006">
        <w:rPr>
          <w:rFonts w:ascii="Times New Roman" w:eastAsia="Times New Roman" w:hAnsi="Times New Roman"/>
          <w:bCs/>
          <w:sz w:val="24"/>
          <w:szCs w:val="24"/>
          <w:lang w:val="tr-TR" w:eastAsia="en-US"/>
        </w:rPr>
        <w:t>: Yerli olmayan kaynağa dayalı üretim yapan “d” üretim tesisinin “f” dönemi için alacağı kesinti uygulanmış kapasite ödemesini (TL),</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EE7B8D">
        <w:rPr>
          <w:rFonts w:ascii="Times New Roman" w:eastAsia="Times New Roman" w:hAnsi="Times New Roman"/>
          <w:b/>
          <w:bCs/>
          <w:sz w:val="24"/>
          <w:szCs w:val="24"/>
          <w:lang w:val="tr-TR" w:eastAsia="en-US"/>
        </w:rPr>
        <w:t>B</w:t>
      </w:r>
      <w:r w:rsidRPr="00EE7B8D">
        <w:rPr>
          <w:rFonts w:ascii="Times New Roman" w:eastAsia="Times New Roman" w:hAnsi="Times New Roman"/>
          <w:b/>
          <w:bCs/>
          <w:sz w:val="24"/>
          <w:szCs w:val="24"/>
          <w:vertAlign w:val="subscript"/>
          <w:lang w:val="tr-TR" w:eastAsia="en-US"/>
        </w:rPr>
        <w:t>f</w:t>
      </w:r>
      <w:r w:rsidRPr="001F6006">
        <w:rPr>
          <w:rFonts w:ascii="Times New Roman" w:eastAsia="Times New Roman" w:hAnsi="Times New Roman"/>
          <w:bCs/>
          <w:sz w:val="24"/>
          <w:szCs w:val="24"/>
          <w:lang w:val="tr-TR" w:eastAsia="en-US"/>
        </w:rPr>
        <w:t>: “f” dönemine ait kapasite ödeme bütçesini,</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EE7B8D">
        <w:rPr>
          <w:rFonts w:ascii="Times New Roman" w:eastAsia="Times New Roman" w:hAnsi="Times New Roman"/>
          <w:b/>
          <w:bCs/>
          <w:sz w:val="24"/>
          <w:szCs w:val="24"/>
          <w:lang w:val="tr-TR" w:eastAsia="en-US"/>
        </w:rPr>
        <w:t>KÖ</w:t>
      </w:r>
      <w:r w:rsidRPr="00EE7B8D">
        <w:rPr>
          <w:rFonts w:ascii="Times New Roman" w:eastAsia="Times New Roman" w:hAnsi="Times New Roman"/>
          <w:b/>
          <w:bCs/>
          <w:sz w:val="24"/>
          <w:szCs w:val="24"/>
          <w:vertAlign w:val="subscript"/>
          <w:lang w:val="tr-TR" w:eastAsia="en-US"/>
        </w:rPr>
        <w:t>y,f</w:t>
      </w:r>
      <w:r w:rsidRPr="001F6006">
        <w:rPr>
          <w:rFonts w:ascii="Times New Roman" w:eastAsia="Times New Roman" w:hAnsi="Times New Roman"/>
          <w:bCs/>
          <w:sz w:val="24"/>
          <w:szCs w:val="24"/>
          <w:lang w:val="tr-TR" w:eastAsia="en-US"/>
        </w:rPr>
        <w:t xml:space="preserve">: “y” üretim tesisinin “f” dönemi için hesaplanan kapasite ödemesini (TL), </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EE7B8D">
        <w:rPr>
          <w:rFonts w:ascii="Times New Roman" w:eastAsia="Times New Roman" w:hAnsi="Times New Roman"/>
          <w:b/>
          <w:bCs/>
          <w:sz w:val="24"/>
          <w:szCs w:val="24"/>
          <w:lang w:val="tr-TR" w:eastAsia="en-US"/>
        </w:rPr>
        <w:t>KÖ</w:t>
      </w:r>
      <w:r w:rsidRPr="00EE7B8D">
        <w:rPr>
          <w:rFonts w:ascii="Times New Roman" w:eastAsia="Times New Roman" w:hAnsi="Times New Roman"/>
          <w:b/>
          <w:bCs/>
          <w:sz w:val="24"/>
          <w:szCs w:val="24"/>
          <w:vertAlign w:val="subscript"/>
          <w:lang w:val="tr-TR" w:eastAsia="en-US"/>
        </w:rPr>
        <w:t>d,f</w:t>
      </w:r>
      <w:r w:rsidRPr="001F6006">
        <w:rPr>
          <w:rFonts w:ascii="Times New Roman" w:eastAsia="Times New Roman" w:hAnsi="Times New Roman"/>
          <w:bCs/>
          <w:sz w:val="24"/>
          <w:szCs w:val="24"/>
          <w:lang w:val="tr-TR" w:eastAsia="en-US"/>
        </w:rPr>
        <w:t>: “d” üretim tesisinin “f” dönemi için hesaplanan kapasite ödemesini (TL)</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ifade eder.</w:t>
      </w:r>
    </w:p>
    <w:p w:rsidR="00522737" w:rsidRDefault="00522737" w:rsidP="00522737">
      <w:pPr>
        <w:tabs>
          <w:tab w:val="left" w:pos="369"/>
        </w:tabs>
        <w:spacing w:after="0"/>
        <w:jc w:val="both"/>
        <w:rPr>
          <w:rFonts w:ascii="Times New Roman" w:eastAsia="Times New Roman" w:hAnsi="Times New Roman"/>
          <w:bCs/>
          <w:sz w:val="24"/>
          <w:szCs w:val="24"/>
          <w:lang w:val="tr-TR" w:eastAsia="en-US"/>
        </w:rPr>
      </w:pPr>
    </w:p>
    <w:p w:rsidR="00D77689" w:rsidRPr="001F6006" w:rsidRDefault="00D77689" w:rsidP="00522737">
      <w:pPr>
        <w:tabs>
          <w:tab w:val="left" w:pos="369"/>
        </w:tabs>
        <w:spacing w:after="0"/>
        <w:jc w:val="both"/>
        <w:rPr>
          <w:rFonts w:ascii="Times New Roman" w:eastAsia="Times New Roman" w:hAnsi="Times New Roman"/>
          <w:bCs/>
          <w:sz w:val="24"/>
          <w:szCs w:val="24"/>
          <w:lang w:val="tr-TR" w:eastAsia="en-US"/>
        </w:rPr>
      </w:pP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lastRenderedPageBreak/>
        <w:tab/>
      </w:r>
      <w:r w:rsidRPr="001F6006">
        <w:rPr>
          <w:rFonts w:ascii="Times New Roman" w:eastAsia="Times New Roman" w:hAnsi="Times New Roman"/>
          <w:bCs/>
          <w:sz w:val="24"/>
          <w:szCs w:val="24"/>
          <w:lang w:val="tr-TR" w:eastAsia="en-US"/>
        </w:rPr>
        <w:tab/>
        <w:t xml:space="preserve">(3) Her bir fatura dönemi için belirlenmiş bütçenin ilgili dönemde kapasite mekanizmasından yararlanan yerli kaynaklara dayalı santrallerin kapasite ödemeleri toplamından küçük olması halinde; yerli olmayan kaynaklardan üretim yapan santrallere ilgili fatura dönemi için kapasite ödemesi yapılmaz, yerli kaynaklara dayalı santrallerin kapasite ödemeleri ise aşağıdaki formüle göre hesaplanır. </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p>
    <w:p w:rsidR="00522737" w:rsidRPr="001F6006" w:rsidRDefault="00522737" w:rsidP="00522737">
      <w:pPr>
        <w:tabs>
          <w:tab w:val="left" w:pos="369"/>
        </w:tabs>
        <w:spacing w:after="0"/>
        <w:ind w:firstLine="720"/>
        <w:jc w:val="both"/>
        <w:rPr>
          <w:rFonts w:ascii="Times New Roman" w:eastAsia="Times New Roman" w:hAnsi="Times New Roman"/>
          <w:b/>
          <w:sz w:val="20"/>
          <w:szCs w:val="20"/>
          <w:lang w:val="tr-TR" w:eastAsia="en-US"/>
        </w:rPr>
      </w:pPr>
      <w:r w:rsidRPr="001F6006">
        <w:rPr>
          <w:rFonts w:ascii="Times New Roman" w:eastAsia="Times New Roman" w:hAnsi="Times New Roman"/>
          <w:b/>
          <w:bCs/>
          <w:i/>
          <w:sz w:val="20"/>
          <w:szCs w:val="20"/>
          <w:lang w:val="tr-TR" w:eastAsia="en-US"/>
        </w:rPr>
        <w:t>KKÖ</w:t>
      </w:r>
      <w:r w:rsidRPr="001F6006">
        <w:rPr>
          <w:rFonts w:ascii="Times New Roman" w:eastAsia="Times New Roman" w:hAnsi="Times New Roman"/>
          <w:b/>
          <w:bCs/>
          <w:i/>
          <w:sz w:val="20"/>
          <w:szCs w:val="20"/>
          <w:vertAlign w:val="subscript"/>
          <w:lang w:val="tr-TR" w:eastAsia="en-US"/>
        </w:rPr>
        <w:t xml:space="preserve">y,f </w:t>
      </w:r>
      <w:r w:rsidRPr="001F6006">
        <w:rPr>
          <w:rFonts w:ascii="Times New Roman" w:eastAsia="Times New Roman" w:hAnsi="Times New Roman"/>
          <w:b/>
          <w:bCs/>
          <w:sz w:val="20"/>
          <w:szCs w:val="20"/>
          <w:lang w:val="tr-TR" w:eastAsia="en-US"/>
        </w:rPr>
        <w:t>=</w:t>
      </w:r>
      <m:oMath>
        <m:r>
          <m:rPr>
            <m:sty m:val="bi"/>
          </m:rPr>
          <w:rPr>
            <w:rFonts w:ascii="Cambria Math" w:eastAsia="Times New Roman" w:hAnsi="Cambria Math"/>
            <w:sz w:val="24"/>
            <w:szCs w:val="20"/>
            <w:lang w:val="tr-TR" w:eastAsia="en-US"/>
          </w:rPr>
          <m:t xml:space="preserve"> </m:t>
        </m:r>
        <m:sSub>
          <m:sSubPr>
            <m:ctrlPr>
              <w:rPr>
                <w:rFonts w:ascii="Cambria Math" w:eastAsia="Times New Roman" w:hAnsi="Cambria Math"/>
                <w:b/>
                <w:i/>
                <w:sz w:val="24"/>
                <w:szCs w:val="20"/>
                <w:lang w:val="tr-TR" w:eastAsia="en-US"/>
              </w:rPr>
            </m:ctrlPr>
          </m:sSubPr>
          <m:e>
            <m:r>
              <m:rPr>
                <m:sty m:val="bi"/>
              </m:rPr>
              <w:rPr>
                <w:rFonts w:ascii="Cambria Math" w:eastAsia="Times New Roman" w:hAnsi="Cambria Math"/>
                <w:sz w:val="24"/>
                <w:szCs w:val="20"/>
                <w:lang w:val="tr-TR" w:eastAsia="en-US"/>
              </w:rPr>
              <m:t>B</m:t>
            </m:r>
          </m:e>
          <m:sub>
            <m:r>
              <m:rPr>
                <m:sty m:val="bi"/>
              </m:rPr>
              <w:rPr>
                <w:rFonts w:ascii="Cambria Math" w:eastAsia="Times New Roman" w:hAnsi="Cambria Math"/>
                <w:sz w:val="24"/>
                <w:szCs w:val="20"/>
                <w:lang w:val="tr-TR" w:eastAsia="en-US"/>
              </w:rPr>
              <m:t>f</m:t>
            </m:r>
          </m:sub>
        </m:sSub>
        <m:r>
          <m:rPr>
            <m:sty m:val="bi"/>
          </m:rPr>
          <w:rPr>
            <w:rFonts w:ascii="Cambria Math" w:eastAsia="Times New Roman" w:hAnsi="Cambria Math"/>
            <w:sz w:val="24"/>
            <w:szCs w:val="20"/>
            <w:lang w:val="tr-TR" w:eastAsia="en-US"/>
          </w:rPr>
          <m:t>*</m:t>
        </m:r>
        <m:f>
          <m:fPr>
            <m:ctrlPr>
              <w:rPr>
                <w:rFonts w:ascii="Cambria Math" w:eastAsia="Times New Roman" w:hAnsi="Cambria Math"/>
                <w:b/>
                <w:i/>
                <w:sz w:val="24"/>
                <w:szCs w:val="20"/>
                <w:lang w:val="tr-TR" w:eastAsia="en-US"/>
              </w:rPr>
            </m:ctrlPr>
          </m:fPr>
          <m:num>
            <m:sSub>
              <m:sSubPr>
                <m:ctrlPr>
                  <w:rPr>
                    <w:rFonts w:ascii="Cambria Math" w:eastAsia="Times New Roman" w:hAnsi="Cambria Math"/>
                    <w:b/>
                    <w:bCs/>
                    <w:i/>
                    <w:sz w:val="24"/>
                    <w:szCs w:val="20"/>
                    <w:lang w:val="tr-TR" w:eastAsia="en-US"/>
                  </w:rPr>
                </m:ctrlPr>
              </m:sSubPr>
              <m:e>
                <m:r>
                  <m:rPr>
                    <m:sty m:val="bi"/>
                  </m:rPr>
                  <w:rPr>
                    <w:rFonts w:ascii="Cambria Math" w:eastAsia="Times New Roman" w:hAnsi="Cambria Math"/>
                    <w:sz w:val="24"/>
                    <w:szCs w:val="20"/>
                    <w:lang w:val="tr-TR" w:eastAsia="en-US"/>
                  </w:rPr>
                  <m:t>KÖ</m:t>
                </m:r>
              </m:e>
              <m:sub>
                <m:r>
                  <m:rPr>
                    <m:sty m:val="bi"/>
                  </m:rPr>
                  <w:rPr>
                    <w:rFonts w:ascii="Cambria Math" w:eastAsia="Times New Roman" w:hAnsi="Cambria Math"/>
                    <w:sz w:val="24"/>
                    <w:szCs w:val="20"/>
                    <w:lang w:val="tr-TR" w:eastAsia="en-US"/>
                  </w:rPr>
                  <m:t>y,f</m:t>
                </m:r>
              </m:sub>
            </m:sSub>
          </m:num>
          <m:den>
            <m:nary>
              <m:naryPr>
                <m:chr m:val="∑"/>
                <m:limLoc m:val="undOvr"/>
                <m:ctrlPr>
                  <w:rPr>
                    <w:rFonts w:ascii="Cambria Math" w:eastAsia="Times New Roman" w:hAnsi="Cambria Math"/>
                    <w:b/>
                    <w:bCs/>
                    <w:i/>
                    <w:sz w:val="24"/>
                    <w:szCs w:val="20"/>
                    <w:lang w:val="tr-TR" w:eastAsia="en-US"/>
                  </w:rPr>
                </m:ctrlPr>
              </m:naryPr>
              <m:sub>
                <m:r>
                  <m:rPr>
                    <m:sty m:val="bi"/>
                  </m:rPr>
                  <w:rPr>
                    <w:rFonts w:ascii="Cambria Math" w:eastAsia="Times New Roman" w:hAnsi="Cambria Math"/>
                    <w:sz w:val="24"/>
                    <w:szCs w:val="20"/>
                    <w:lang w:val="tr-TR" w:eastAsia="en-US"/>
                  </w:rPr>
                  <m:t>1</m:t>
                </m:r>
              </m:sub>
              <m:sup>
                <m:r>
                  <m:rPr>
                    <m:sty m:val="bi"/>
                  </m:rPr>
                  <w:rPr>
                    <w:rFonts w:ascii="Cambria Math" w:eastAsia="Times New Roman" w:hAnsi="Cambria Math"/>
                    <w:sz w:val="24"/>
                    <w:szCs w:val="20"/>
                    <w:lang w:val="tr-TR" w:eastAsia="en-US"/>
                  </w:rPr>
                  <m:t>h</m:t>
                </m:r>
              </m:sup>
              <m:e>
                <m:sSub>
                  <m:sSubPr>
                    <m:ctrlPr>
                      <w:rPr>
                        <w:rFonts w:ascii="Cambria Math" w:eastAsia="Times New Roman" w:hAnsi="Cambria Math"/>
                        <w:b/>
                        <w:i/>
                        <w:sz w:val="24"/>
                        <w:szCs w:val="20"/>
                        <w:lang w:val="tr-TR" w:eastAsia="en-US"/>
                      </w:rPr>
                    </m:ctrlPr>
                  </m:sSubPr>
                  <m:e>
                    <m:r>
                      <m:rPr>
                        <m:sty m:val="bi"/>
                      </m:rPr>
                      <w:rPr>
                        <w:rFonts w:ascii="Cambria Math" w:eastAsia="Times New Roman" w:hAnsi="Cambria Math"/>
                        <w:sz w:val="24"/>
                        <w:szCs w:val="20"/>
                        <w:lang w:val="tr-TR" w:eastAsia="en-US"/>
                      </w:rPr>
                      <m:t>KÖ</m:t>
                    </m:r>
                  </m:e>
                  <m:sub>
                    <m:r>
                      <m:rPr>
                        <m:sty m:val="bi"/>
                      </m:rPr>
                      <w:rPr>
                        <w:rFonts w:ascii="Cambria Math" w:eastAsia="Times New Roman" w:hAnsi="Cambria Math"/>
                        <w:sz w:val="24"/>
                        <w:szCs w:val="20"/>
                        <w:lang w:val="tr-TR" w:eastAsia="en-US"/>
                      </w:rPr>
                      <m:t>y,f</m:t>
                    </m:r>
                  </m:sub>
                </m:sSub>
              </m:e>
            </m:nary>
          </m:den>
        </m:f>
      </m:oMath>
      <w:r w:rsidRPr="001F6006">
        <w:rPr>
          <w:rFonts w:ascii="Times New Roman" w:eastAsia="Times New Roman" w:hAnsi="Times New Roman"/>
          <w:b/>
          <w:sz w:val="20"/>
          <w:szCs w:val="20"/>
          <w:lang w:val="tr-TR" w:eastAsia="en-US"/>
        </w:rPr>
        <w:tab/>
      </w:r>
      <w:r w:rsidRPr="001F6006">
        <w:rPr>
          <w:rFonts w:ascii="Times New Roman" w:eastAsia="Times New Roman" w:hAnsi="Times New Roman"/>
          <w:b/>
          <w:sz w:val="20"/>
          <w:szCs w:val="20"/>
          <w:lang w:val="tr-TR" w:eastAsia="en-US"/>
        </w:rPr>
        <w:tab/>
      </w:r>
      <w:r w:rsidRPr="001F6006">
        <w:rPr>
          <w:rFonts w:ascii="Times New Roman" w:eastAsia="Times New Roman" w:hAnsi="Times New Roman"/>
          <w:b/>
          <w:sz w:val="20"/>
          <w:szCs w:val="20"/>
          <w:lang w:val="tr-TR" w:eastAsia="en-US"/>
        </w:rPr>
        <w:tab/>
        <w:t>(3)</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Bu eşitlikte geçen;</w:t>
      </w:r>
    </w:p>
    <w:p w:rsidR="00522737" w:rsidRPr="001F6006" w:rsidRDefault="00522737" w:rsidP="00522737">
      <w:pPr>
        <w:tabs>
          <w:tab w:val="left" w:pos="369"/>
        </w:tabs>
        <w:spacing w:after="0"/>
        <w:jc w:val="both"/>
        <w:rPr>
          <w:rFonts w:ascii="Times New Roman" w:eastAsia="Times New Roman" w:hAnsi="Times New Roman"/>
          <w:bCs/>
          <w:sz w:val="24"/>
          <w:szCs w:val="24"/>
          <w:lang w:val="tr-TR" w:eastAsia="en-US"/>
        </w:rPr>
      </w:pPr>
      <w:r w:rsidRPr="00EE7B8D">
        <w:rPr>
          <w:rFonts w:ascii="Times New Roman" w:eastAsia="Times New Roman" w:hAnsi="Times New Roman"/>
          <w:b/>
          <w:bCs/>
          <w:sz w:val="24"/>
          <w:szCs w:val="24"/>
          <w:lang w:val="tr-TR" w:eastAsia="en-US"/>
        </w:rPr>
        <w:t>KKÖ</w:t>
      </w:r>
      <w:r w:rsidRPr="00EE7B8D">
        <w:rPr>
          <w:rFonts w:ascii="Times New Roman" w:eastAsia="Times New Roman" w:hAnsi="Times New Roman"/>
          <w:b/>
          <w:bCs/>
          <w:sz w:val="24"/>
          <w:szCs w:val="24"/>
          <w:vertAlign w:val="subscript"/>
          <w:lang w:val="tr-TR" w:eastAsia="en-US"/>
        </w:rPr>
        <w:t>y,f</w:t>
      </w:r>
      <w:r w:rsidRPr="001F6006">
        <w:rPr>
          <w:rFonts w:ascii="Times New Roman" w:eastAsia="Times New Roman" w:hAnsi="Times New Roman"/>
          <w:bCs/>
          <w:sz w:val="24"/>
          <w:szCs w:val="24"/>
          <w:lang w:val="tr-TR" w:eastAsia="en-US"/>
        </w:rPr>
        <w:t>:  Yerli kaynaklara dayalı üretim yapan “y” üretim tesisinin “f” dönemi için alacağı kesinti uygulanmış kapasite ödemesini (TL)</w:t>
      </w:r>
    </w:p>
    <w:p w:rsidR="00EA7819" w:rsidRPr="001F6006" w:rsidRDefault="00EA7819" w:rsidP="00A27563">
      <w:pPr>
        <w:tabs>
          <w:tab w:val="left" w:pos="369"/>
        </w:tabs>
        <w:spacing w:after="0" w:line="240" w:lineRule="auto"/>
        <w:jc w:val="both"/>
        <w:rPr>
          <w:rFonts w:ascii="Times New Roman" w:eastAsia="Times New Roman" w:hAnsi="Times New Roman"/>
          <w:bCs/>
          <w:sz w:val="24"/>
          <w:szCs w:val="24"/>
          <w:lang w:val="tr-TR" w:eastAsia="en-US"/>
        </w:rPr>
      </w:pP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ifade eder.</w:t>
      </w:r>
    </w:p>
    <w:p w:rsidR="002374C4" w:rsidRPr="001F6006" w:rsidRDefault="002374C4" w:rsidP="00A27563">
      <w:pPr>
        <w:tabs>
          <w:tab w:val="left" w:pos="369"/>
        </w:tabs>
        <w:spacing w:after="0" w:line="240" w:lineRule="auto"/>
        <w:jc w:val="both"/>
        <w:rPr>
          <w:rFonts w:ascii="Times New Roman" w:eastAsia="Times New Roman" w:hAnsi="Times New Roman"/>
          <w:b/>
          <w:bCs/>
          <w:sz w:val="24"/>
          <w:szCs w:val="24"/>
          <w:lang w:val="tr-TR" w:eastAsia="en-US"/>
        </w:rPr>
      </w:pPr>
    </w:p>
    <w:p w:rsidR="005C1F7F" w:rsidRPr="001F6006" w:rsidRDefault="005C1F7F" w:rsidP="005C1F7F">
      <w:pPr>
        <w:spacing w:after="0" w:line="240" w:lineRule="auto"/>
        <w:ind w:firstLine="708"/>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w:t>
      </w:r>
      <w:r w:rsidR="00BB21BB" w:rsidRPr="001F6006">
        <w:rPr>
          <w:rFonts w:ascii="Times New Roman" w:eastAsia="ヒラギノ明朝 Pro W3" w:hAnsi="Times New Roman"/>
          <w:sz w:val="24"/>
          <w:szCs w:val="24"/>
          <w:lang w:val="tr-TR" w:eastAsia="en-US"/>
        </w:rPr>
        <w:t>4</w:t>
      </w:r>
      <w:r w:rsidRPr="001F6006">
        <w:rPr>
          <w:rFonts w:ascii="Times New Roman" w:eastAsia="ヒラギノ明朝 Pro W3" w:hAnsi="Times New Roman"/>
          <w:sz w:val="24"/>
          <w:szCs w:val="24"/>
          <w:lang w:val="tr-TR" w:eastAsia="en-US"/>
        </w:rPr>
        <w:t xml:space="preserve">) Son dört çeyrekte ağırlıklı ortalama kapasite kullanım oranı yerli kaynaklara dayalı olanlarda %10’un, diğerlerinde %15’in altında olan santrallere ilgili dönem için herhangi bir kapasite ödemesi yapılmaz. </w:t>
      </w:r>
      <w:r w:rsidR="00C62AE8" w:rsidRPr="001F6006">
        <w:rPr>
          <w:rFonts w:ascii="Times New Roman" w:eastAsia="ヒラギノ明朝 Pro W3" w:hAnsi="Times New Roman"/>
          <w:sz w:val="24"/>
          <w:szCs w:val="24"/>
          <w:lang w:val="tr-TR" w:eastAsia="en-US"/>
        </w:rPr>
        <w:t xml:space="preserve">Yeni işletmeye geçen santrallerde, </w:t>
      </w:r>
      <w:r w:rsidRPr="001F6006">
        <w:rPr>
          <w:rFonts w:ascii="Times New Roman" w:eastAsia="ヒラギノ明朝 Pro W3" w:hAnsi="Times New Roman"/>
          <w:sz w:val="24"/>
          <w:szCs w:val="24"/>
          <w:lang w:val="tr-TR" w:eastAsia="en-US"/>
        </w:rPr>
        <w:t>ilgili santralin ilk ünitesinin işletmeye girmesin</w:t>
      </w:r>
      <w:r w:rsidR="00C62AE8" w:rsidRPr="001F6006">
        <w:rPr>
          <w:rFonts w:ascii="Times New Roman" w:eastAsia="ヒラギノ明朝 Pro W3" w:hAnsi="Times New Roman"/>
          <w:sz w:val="24"/>
          <w:szCs w:val="24"/>
          <w:lang w:val="tr-TR" w:eastAsia="en-US"/>
        </w:rPr>
        <w:t>in üzerinden</w:t>
      </w:r>
      <w:r w:rsidR="00446FB3" w:rsidRPr="001F6006">
        <w:rPr>
          <w:rFonts w:ascii="Times New Roman" w:eastAsia="ヒラギノ明朝 Pro W3" w:hAnsi="Times New Roman"/>
          <w:sz w:val="24"/>
          <w:szCs w:val="24"/>
          <w:lang w:val="tr-TR" w:eastAsia="en-US"/>
        </w:rPr>
        <w:t xml:space="preserve"> </w:t>
      </w:r>
      <w:r w:rsidRPr="001F6006">
        <w:rPr>
          <w:rFonts w:ascii="Times New Roman" w:eastAsia="ヒラギノ明朝 Pro W3" w:hAnsi="Times New Roman"/>
          <w:sz w:val="24"/>
          <w:szCs w:val="24"/>
          <w:lang w:val="tr-TR" w:eastAsia="en-US"/>
        </w:rPr>
        <w:t>dört çeyrek geç</w:t>
      </w:r>
      <w:r w:rsidR="00C62AE8" w:rsidRPr="001F6006">
        <w:rPr>
          <w:rFonts w:ascii="Times New Roman" w:eastAsia="ヒラギノ明朝 Pro W3" w:hAnsi="Times New Roman"/>
          <w:sz w:val="24"/>
          <w:szCs w:val="24"/>
          <w:lang w:val="tr-TR" w:eastAsia="en-US"/>
        </w:rPr>
        <w:t xml:space="preserve">inceye kadar </w:t>
      </w:r>
      <w:r w:rsidR="000557DC" w:rsidRPr="001F6006">
        <w:rPr>
          <w:rFonts w:ascii="Times New Roman" w:eastAsia="ヒラギノ明朝 Pro W3" w:hAnsi="Times New Roman"/>
          <w:sz w:val="24"/>
          <w:szCs w:val="24"/>
          <w:lang w:val="tr-TR" w:eastAsia="en-US"/>
        </w:rPr>
        <w:t xml:space="preserve">bu fıkranın </w:t>
      </w:r>
      <w:r w:rsidR="00C62AE8" w:rsidRPr="001F6006">
        <w:rPr>
          <w:rFonts w:ascii="Times New Roman" w:eastAsia="ヒラギノ明朝 Pro W3" w:hAnsi="Times New Roman"/>
          <w:sz w:val="24"/>
          <w:szCs w:val="24"/>
          <w:lang w:val="tr-TR" w:eastAsia="en-US"/>
        </w:rPr>
        <w:t>ilk cümle</w:t>
      </w:r>
      <w:r w:rsidR="000557DC" w:rsidRPr="001F6006">
        <w:rPr>
          <w:rFonts w:ascii="Times New Roman" w:eastAsia="ヒラギノ明朝 Pro W3" w:hAnsi="Times New Roman"/>
          <w:sz w:val="24"/>
          <w:szCs w:val="24"/>
          <w:lang w:val="tr-TR" w:eastAsia="en-US"/>
        </w:rPr>
        <w:t>sindeki hüküm uygulanmaz;</w:t>
      </w:r>
      <w:r w:rsidR="00C62AE8" w:rsidRPr="001F6006">
        <w:rPr>
          <w:rFonts w:ascii="Times New Roman" w:eastAsia="ヒラギノ明朝 Pro W3" w:hAnsi="Times New Roman"/>
          <w:sz w:val="24"/>
          <w:szCs w:val="24"/>
          <w:lang w:val="tr-TR" w:eastAsia="en-US"/>
        </w:rPr>
        <w:t xml:space="preserve"> ilk dört çeyrek boyunca bu santraller kapasite kul</w:t>
      </w:r>
      <w:r w:rsidR="000557DC" w:rsidRPr="001F6006">
        <w:rPr>
          <w:rFonts w:ascii="Times New Roman" w:eastAsia="ヒラギノ明朝 Pro W3" w:hAnsi="Times New Roman"/>
          <w:sz w:val="24"/>
          <w:szCs w:val="24"/>
          <w:lang w:val="tr-TR" w:eastAsia="en-US"/>
        </w:rPr>
        <w:t>lanım oranına bakılmaksızın kapasite ödeme mekanizmasına dahil edilir</w:t>
      </w:r>
      <w:r w:rsidRPr="001F6006">
        <w:rPr>
          <w:rFonts w:ascii="Times New Roman" w:eastAsia="ヒラギノ明朝 Pro W3" w:hAnsi="Times New Roman"/>
          <w:sz w:val="24"/>
          <w:szCs w:val="24"/>
          <w:lang w:val="tr-TR" w:eastAsia="en-US"/>
        </w:rPr>
        <w:t xml:space="preserve">. </w:t>
      </w:r>
    </w:p>
    <w:p w:rsidR="00B942F9" w:rsidRPr="001F6006" w:rsidRDefault="00B942F9" w:rsidP="005C1F7F">
      <w:pPr>
        <w:spacing w:after="0" w:line="240" w:lineRule="auto"/>
        <w:ind w:firstLine="708"/>
        <w:jc w:val="both"/>
        <w:rPr>
          <w:rFonts w:ascii="Times New Roman" w:eastAsia="ヒラギノ明朝 Pro W3" w:hAnsi="Times New Roman"/>
          <w:sz w:val="24"/>
          <w:szCs w:val="24"/>
          <w:lang w:val="tr-TR" w:eastAsia="en-US"/>
        </w:rPr>
      </w:pPr>
    </w:p>
    <w:p w:rsidR="00B576D9" w:rsidRPr="001F6006" w:rsidRDefault="00B576D9" w:rsidP="00B576D9">
      <w:pPr>
        <w:spacing w:after="0"/>
        <w:ind w:firstLine="708"/>
        <w:jc w:val="both"/>
        <w:rPr>
          <w:rFonts w:ascii="Times New Roman" w:eastAsia="ヒラギノ明朝 Pro W3" w:hAnsi="Times New Roman"/>
          <w:sz w:val="24"/>
          <w:szCs w:val="24"/>
          <w:lang w:val="tr-TR" w:eastAsia="en-US"/>
        </w:rPr>
      </w:pPr>
      <w:r w:rsidRPr="001F6006">
        <w:rPr>
          <w:rFonts w:ascii="Times New Roman" w:eastAsia="ヒラギノ明朝 Pro W3" w:hAnsi="Times New Roman"/>
          <w:sz w:val="24"/>
          <w:szCs w:val="24"/>
          <w:lang w:val="tr-TR" w:eastAsia="en-US"/>
        </w:rPr>
        <w:t>(</w:t>
      </w:r>
      <w:r w:rsidR="00BB21BB" w:rsidRPr="001F6006">
        <w:rPr>
          <w:rFonts w:ascii="Times New Roman" w:eastAsia="ヒラギノ明朝 Pro W3" w:hAnsi="Times New Roman"/>
          <w:sz w:val="24"/>
          <w:szCs w:val="24"/>
          <w:lang w:val="tr-TR" w:eastAsia="en-US"/>
        </w:rPr>
        <w:t>5</w:t>
      </w:r>
      <w:r w:rsidRPr="001F6006">
        <w:rPr>
          <w:rFonts w:ascii="Times New Roman" w:eastAsia="ヒラギノ明朝 Pro W3" w:hAnsi="Times New Roman"/>
          <w:sz w:val="24"/>
          <w:szCs w:val="24"/>
          <w:lang w:val="tr-TR" w:eastAsia="en-US"/>
        </w:rPr>
        <w:t>) İthal kömür yakıtlı santrallerde, bir fatura dönemi içerisinde yerli kömür kullanılarak elektrik üretimi yapılması halinde, yerli kömür kullanılarak yapılan üretim miktarı oranında kapasite ödemesi yapılır.</w:t>
      </w:r>
    </w:p>
    <w:p w:rsidR="005C1F7F" w:rsidRPr="001F6006" w:rsidRDefault="005C1F7F" w:rsidP="00A27563">
      <w:pPr>
        <w:tabs>
          <w:tab w:val="left" w:pos="369"/>
        </w:tabs>
        <w:spacing w:after="0" w:line="240" w:lineRule="auto"/>
        <w:jc w:val="both"/>
        <w:rPr>
          <w:rFonts w:ascii="Times New Roman" w:eastAsia="Times New Roman" w:hAnsi="Times New Roman"/>
          <w:b/>
          <w:bCs/>
          <w:sz w:val="24"/>
          <w:szCs w:val="24"/>
          <w:lang w:val="tr-TR" w:eastAsia="en-US"/>
        </w:rPr>
      </w:pPr>
    </w:p>
    <w:p w:rsidR="00A27563" w:rsidRPr="001F6006" w:rsidRDefault="00FB6DC6" w:rsidP="00A27563">
      <w:pPr>
        <w:tabs>
          <w:tab w:val="left" w:pos="369"/>
        </w:tabs>
        <w:spacing w:after="0" w:line="240" w:lineRule="auto"/>
        <w:jc w:val="both"/>
        <w:rPr>
          <w:rFonts w:ascii="Times New Roman" w:eastAsia="Times New Roman" w:hAnsi="Times New Roman"/>
          <w:b/>
          <w:bCs/>
          <w:sz w:val="24"/>
          <w:szCs w:val="24"/>
          <w:lang w:val="tr-TR" w:eastAsia="en-US"/>
        </w:rPr>
      </w:pPr>
      <w:r w:rsidRPr="001F6006">
        <w:rPr>
          <w:rFonts w:ascii="Times New Roman" w:eastAsia="Times New Roman" w:hAnsi="Times New Roman"/>
          <w:b/>
          <w:bCs/>
          <w:sz w:val="24"/>
          <w:szCs w:val="24"/>
          <w:lang w:val="tr-TR" w:eastAsia="en-US"/>
        </w:rPr>
        <w:tab/>
      </w:r>
      <w:r w:rsidR="00A27563" w:rsidRPr="001F6006">
        <w:rPr>
          <w:rFonts w:ascii="Times New Roman" w:eastAsia="Times New Roman" w:hAnsi="Times New Roman"/>
          <w:b/>
          <w:bCs/>
          <w:sz w:val="24"/>
          <w:szCs w:val="24"/>
          <w:lang w:val="tr-TR" w:eastAsia="en-US"/>
        </w:rPr>
        <w:t xml:space="preserve">Sabit ve </w:t>
      </w:r>
      <w:r w:rsidR="00A166E4" w:rsidRPr="001F6006">
        <w:rPr>
          <w:rFonts w:ascii="Times New Roman" w:eastAsia="Times New Roman" w:hAnsi="Times New Roman"/>
          <w:b/>
          <w:bCs/>
          <w:sz w:val="24"/>
          <w:szCs w:val="24"/>
          <w:lang w:val="tr-TR" w:eastAsia="en-US"/>
        </w:rPr>
        <w:t>değişken maliyet bileşenleri</w:t>
      </w:r>
    </w:p>
    <w:p w:rsidR="00A27563" w:rsidRPr="001F6006" w:rsidRDefault="00FB6DC6"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
          <w:bCs/>
          <w:sz w:val="24"/>
          <w:szCs w:val="24"/>
          <w:lang w:val="tr-TR" w:eastAsia="en-US"/>
        </w:rPr>
        <w:tab/>
      </w:r>
      <w:r w:rsidR="00A27563" w:rsidRPr="001F6006">
        <w:rPr>
          <w:rFonts w:ascii="Times New Roman" w:eastAsia="Times New Roman" w:hAnsi="Times New Roman"/>
          <w:b/>
          <w:bCs/>
          <w:sz w:val="24"/>
          <w:szCs w:val="24"/>
          <w:lang w:val="tr-TR" w:eastAsia="en-US"/>
        </w:rPr>
        <w:t xml:space="preserve">MADDE </w:t>
      </w:r>
      <w:r w:rsidR="00F0673E" w:rsidRPr="001F6006">
        <w:rPr>
          <w:rFonts w:ascii="Times New Roman" w:eastAsia="Times New Roman" w:hAnsi="Times New Roman"/>
          <w:b/>
          <w:bCs/>
          <w:sz w:val="24"/>
          <w:szCs w:val="24"/>
          <w:lang w:val="tr-TR" w:eastAsia="en-US"/>
        </w:rPr>
        <w:t>10</w:t>
      </w:r>
      <w:r w:rsidR="00A27563" w:rsidRPr="001F6006">
        <w:rPr>
          <w:rFonts w:ascii="Times New Roman" w:eastAsia="Times New Roman" w:hAnsi="Times New Roman"/>
          <w:b/>
          <w:bCs/>
          <w:sz w:val="24"/>
          <w:szCs w:val="24"/>
          <w:lang w:val="tr-TR" w:eastAsia="en-US"/>
        </w:rPr>
        <w:t>-</w:t>
      </w:r>
      <w:r w:rsidR="00A27563" w:rsidRPr="001F6006">
        <w:rPr>
          <w:rFonts w:ascii="Times New Roman" w:eastAsia="Times New Roman" w:hAnsi="Times New Roman"/>
          <w:bCs/>
          <w:sz w:val="24"/>
          <w:szCs w:val="24"/>
          <w:lang w:val="tr-TR" w:eastAsia="en-US"/>
        </w:rPr>
        <w:t xml:space="preserve"> (1) Kapasite ödemelerinin hesaplanmasında dikkate alınan sabit maliyet bileşeni, değişken maliyet bileşeni</w:t>
      </w:r>
      <w:r w:rsidR="00845C8F" w:rsidRPr="001F6006">
        <w:rPr>
          <w:rFonts w:ascii="Times New Roman" w:eastAsia="Times New Roman" w:hAnsi="Times New Roman"/>
          <w:bCs/>
          <w:sz w:val="24"/>
          <w:szCs w:val="24"/>
          <w:lang w:val="tr-TR" w:eastAsia="en-US"/>
        </w:rPr>
        <w:t xml:space="preserve"> ve öngörülen kapasite kullanım oranı</w:t>
      </w:r>
      <w:r w:rsidR="00A27563" w:rsidRPr="001F6006">
        <w:rPr>
          <w:rFonts w:ascii="Times New Roman" w:eastAsia="Times New Roman" w:hAnsi="Times New Roman"/>
          <w:bCs/>
          <w:sz w:val="24"/>
          <w:szCs w:val="24"/>
          <w:lang w:val="tr-TR" w:eastAsia="en-US"/>
        </w:rPr>
        <w:t xml:space="preserve"> </w:t>
      </w:r>
      <w:r w:rsidR="00AA08C4" w:rsidRPr="001F6006">
        <w:rPr>
          <w:rFonts w:ascii="Times New Roman" w:eastAsia="Times New Roman" w:hAnsi="Times New Roman"/>
          <w:bCs/>
          <w:sz w:val="24"/>
          <w:szCs w:val="24"/>
          <w:lang w:val="tr-TR" w:eastAsia="en-US"/>
        </w:rPr>
        <w:t xml:space="preserve">her kaynak türü için ayrı ayrı olmak üzere Kurul tarafından </w:t>
      </w:r>
      <w:r w:rsidR="00CD017B" w:rsidRPr="001F6006">
        <w:rPr>
          <w:rFonts w:ascii="Times New Roman" w:eastAsia="Times New Roman" w:hAnsi="Times New Roman"/>
          <w:bCs/>
          <w:sz w:val="24"/>
          <w:szCs w:val="24"/>
          <w:lang w:val="tr-TR" w:eastAsia="en-US"/>
        </w:rPr>
        <w:t>belirlenir</w:t>
      </w:r>
      <w:r w:rsidR="00AA08C4" w:rsidRPr="001F6006">
        <w:rPr>
          <w:rFonts w:ascii="Times New Roman" w:eastAsia="Times New Roman" w:hAnsi="Times New Roman"/>
          <w:bCs/>
          <w:sz w:val="24"/>
          <w:szCs w:val="24"/>
          <w:lang w:val="tr-TR" w:eastAsia="en-US"/>
        </w:rPr>
        <w:t xml:space="preserve">. </w:t>
      </w:r>
      <w:r w:rsidR="00A27563" w:rsidRPr="001F6006">
        <w:rPr>
          <w:rFonts w:ascii="Times New Roman" w:eastAsia="Times New Roman" w:hAnsi="Times New Roman"/>
          <w:bCs/>
          <w:sz w:val="24"/>
          <w:szCs w:val="24"/>
          <w:lang w:val="tr-TR" w:eastAsia="en-US"/>
        </w:rPr>
        <w:t xml:space="preserve"> </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p>
    <w:p w:rsidR="00A27563" w:rsidRPr="001F6006" w:rsidRDefault="002374C4"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ab/>
      </w:r>
      <w:r w:rsidRPr="001F6006">
        <w:rPr>
          <w:rFonts w:ascii="Times New Roman" w:eastAsia="Times New Roman" w:hAnsi="Times New Roman"/>
          <w:bCs/>
          <w:sz w:val="24"/>
          <w:szCs w:val="24"/>
          <w:lang w:val="tr-TR" w:eastAsia="en-US"/>
        </w:rPr>
        <w:tab/>
      </w:r>
      <w:r w:rsidR="00A27563" w:rsidRPr="001F6006">
        <w:rPr>
          <w:rFonts w:ascii="Times New Roman" w:eastAsia="Times New Roman" w:hAnsi="Times New Roman"/>
          <w:bCs/>
          <w:sz w:val="24"/>
          <w:szCs w:val="24"/>
          <w:lang w:val="tr-TR" w:eastAsia="en-US"/>
        </w:rPr>
        <w:t xml:space="preserve">(2) Sabit maliyet bileşeninin hesaplanmasında ilgili kaynak türüne ait </w:t>
      </w:r>
      <w:r w:rsidR="0066276F" w:rsidRPr="001F6006">
        <w:rPr>
          <w:rFonts w:ascii="Times New Roman" w:eastAsia="Times New Roman" w:hAnsi="Times New Roman"/>
          <w:bCs/>
          <w:sz w:val="24"/>
          <w:szCs w:val="24"/>
          <w:lang w:val="tr-TR" w:eastAsia="en-US"/>
        </w:rPr>
        <w:t>kapasite kullanım</w:t>
      </w:r>
      <w:r w:rsidR="00A27563" w:rsidRPr="001F6006">
        <w:rPr>
          <w:rFonts w:ascii="Times New Roman" w:eastAsia="Times New Roman" w:hAnsi="Times New Roman"/>
          <w:bCs/>
          <w:sz w:val="24"/>
          <w:szCs w:val="24"/>
          <w:lang w:val="tr-TR" w:eastAsia="en-US"/>
        </w:rPr>
        <w:t xml:space="preserve"> oranı, ilk yatırım maliyeti, döviz kuru, faiz oranı, kaldıraç oranı</w:t>
      </w:r>
      <w:r w:rsidR="00CA0AD1" w:rsidRPr="001F6006">
        <w:rPr>
          <w:rFonts w:ascii="Times New Roman" w:eastAsia="Times New Roman" w:hAnsi="Times New Roman"/>
          <w:bCs/>
          <w:sz w:val="24"/>
          <w:szCs w:val="24"/>
          <w:lang w:val="tr-TR" w:eastAsia="en-US"/>
        </w:rPr>
        <w:t>, kapasiteye bağlı iletim bedelleri</w:t>
      </w:r>
      <w:r w:rsidR="00A17125" w:rsidRPr="001F6006">
        <w:rPr>
          <w:rFonts w:ascii="Times New Roman" w:eastAsia="Times New Roman" w:hAnsi="Times New Roman"/>
          <w:bCs/>
          <w:sz w:val="24"/>
          <w:szCs w:val="24"/>
          <w:lang w:val="tr-TR" w:eastAsia="en-US"/>
        </w:rPr>
        <w:t xml:space="preserve"> ve işletmeye ilişkin sabit giderler</w:t>
      </w:r>
      <w:r w:rsidR="00A27563" w:rsidRPr="001F6006">
        <w:rPr>
          <w:rFonts w:ascii="Times New Roman" w:eastAsia="Times New Roman" w:hAnsi="Times New Roman"/>
          <w:bCs/>
          <w:sz w:val="24"/>
          <w:szCs w:val="24"/>
          <w:lang w:val="tr-TR" w:eastAsia="en-US"/>
        </w:rPr>
        <w:t xml:space="preserve"> gibi parametreler dikkate alınır. Bu parametreler her bir santral için ayrı ayrı alınmaz, ilgili kaynak türünü temsil eden verilerden hareketle belirlenir.</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p>
    <w:p w:rsidR="00A27563" w:rsidRPr="001F6006" w:rsidRDefault="002374C4" w:rsidP="00A27563">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ab/>
      </w:r>
      <w:r w:rsidRPr="001F6006">
        <w:rPr>
          <w:rFonts w:ascii="Times New Roman" w:eastAsia="Times New Roman" w:hAnsi="Times New Roman"/>
          <w:bCs/>
          <w:sz w:val="24"/>
          <w:szCs w:val="24"/>
          <w:lang w:val="tr-TR" w:eastAsia="en-US"/>
        </w:rPr>
        <w:tab/>
      </w:r>
      <w:r w:rsidR="00A27563" w:rsidRPr="001F6006">
        <w:rPr>
          <w:rFonts w:ascii="Times New Roman" w:eastAsia="Times New Roman" w:hAnsi="Times New Roman"/>
          <w:bCs/>
          <w:sz w:val="24"/>
          <w:szCs w:val="24"/>
          <w:lang w:val="tr-TR" w:eastAsia="en-US"/>
        </w:rPr>
        <w:t xml:space="preserve">(3) Değişken maliyet bileşeni, ilgili kaynak türüne ait yakıt maliyetleri ve verimlilik oranı ile değişken nitelikteki iletim tarifeleri gibi parametrelerden hareketle belirlenir.   </w:t>
      </w:r>
    </w:p>
    <w:p w:rsidR="00A27563" w:rsidRPr="001F6006" w:rsidRDefault="00A27563" w:rsidP="00A27563">
      <w:pPr>
        <w:tabs>
          <w:tab w:val="left" w:pos="369"/>
        </w:tabs>
        <w:spacing w:after="0" w:line="240" w:lineRule="auto"/>
        <w:jc w:val="both"/>
        <w:rPr>
          <w:rFonts w:ascii="Times New Roman" w:eastAsia="Times New Roman" w:hAnsi="Times New Roman"/>
          <w:bCs/>
          <w:sz w:val="24"/>
          <w:szCs w:val="24"/>
          <w:lang w:val="tr-TR" w:eastAsia="en-US"/>
        </w:rPr>
      </w:pPr>
    </w:p>
    <w:p w:rsidR="00A27563" w:rsidRPr="001F6006" w:rsidRDefault="002374C4" w:rsidP="002374C4">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ab/>
      </w:r>
      <w:r w:rsidRPr="001F6006">
        <w:rPr>
          <w:rFonts w:ascii="Times New Roman" w:eastAsia="Times New Roman" w:hAnsi="Times New Roman"/>
          <w:bCs/>
          <w:sz w:val="24"/>
          <w:szCs w:val="24"/>
          <w:lang w:val="tr-TR" w:eastAsia="en-US"/>
        </w:rPr>
        <w:tab/>
      </w:r>
      <w:r w:rsidR="00A27563" w:rsidRPr="001F6006">
        <w:rPr>
          <w:rFonts w:ascii="Times New Roman" w:eastAsia="Times New Roman" w:hAnsi="Times New Roman"/>
          <w:bCs/>
          <w:sz w:val="24"/>
          <w:szCs w:val="24"/>
          <w:lang w:val="tr-TR" w:eastAsia="en-US"/>
        </w:rPr>
        <w:t xml:space="preserve">(4) </w:t>
      </w:r>
      <w:r w:rsidRPr="001F6006">
        <w:rPr>
          <w:rFonts w:ascii="Times New Roman" w:eastAsia="Times New Roman" w:hAnsi="Times New Roman"/>
          <w:bCs/>
          <w:sz w:val="24"/>
          <w:szCs w:val="24"/>
          <w:lang w:val="tr-TR" w:eastAsia="en-US"/>
        </w:rPr>
        <w:t xml:space="preserve">Sabit maliyet bileşeni ve değişken maliyet bileşeninin </w:t>
      </w:r>
      <w:r w:rsidR="00A27563" w:rsidRPr="001F6006">
        <w:rPr>
          <w:rFonts w:ascii="Times New Roman" w:eastAsia="Times New Roman" w:hAnsi="Times New Roman"/>
          <w:bCs/>
          <w:sz w:val="24"/>
          <w:szCs w:val="24"/>
          <w:lang w:val="tr-TR" w:eastAsia="en-US"/>
        </w:rPr>
        <w:t>belirlendiği Kurul Kararında bu bedellerin güncellenmesine ilişkin hükümlere de yer verilir. Sabit maliyet bileşeninin güncellenmesinde döviz kuru, enflasyon</w:t>
      </w:r>
      <w:r w:rsidR="002D2F08" w:rsidRPr="001F6006">
        <w:rPr>
          <w:rFonts w:ascii="Times New Roman" w:eastAsia="Times New Roman" w:hAnsi="Times New Roman"/>
          <w:bCs/>
          <w:sz w:val="24"/>
          <w:szCs w:val="24"/>
          <w:lang w:val="tr-TR" w:eastAsia="en-US"/>
        </w:rPr>
        <w:t xml:space="preserve"> ve kapasiteye bağlı iletim bedelleri</w:t>
      </w:r>
      <w:r w:rsidR="00A27563" w:rsidRPr="001F6006">
        <w:rPr>
          <w:rFonts w:ascii="Times New Roman" w:eastAsia="Times New Roman" w:hAnsi="Times New Roman"/>
          <w:bCs/>
          <w:sz w:val="24"/>
          <w:szCs w:val="24"/>
          <w:lang w:val="tr-TR" w:eastAsia="en-US"/>
        </w:rPr>
        <w:t xml:space="preserve"> parametrelerinde meydana gelen değişimler dikkate alınır. Değişken maliyet bileşeninin güncellenmesinde ise enflasyon ve </w:t>
      </w:r>
      <w:r w:rsidR="002D2F08" w:rsidRPr="001F6006">
        <w:rPr>
          <w:rFonts w:ascii="Times New Roman" w:eastAsia="Times New Roman" w:hAnsi="Times New Roman"/>
          <w:bCs/>
          <w:sz w:val="24"/>
          <w:szCs w:val="24"/>
          <w:lang w:val="tr-TR" w:eastAsia="en-US"/>
        </w:rPr>
        <w:t xml:space="preserve">üretim miktarına bağlı </w:t>
      </w:r>
      <w:r w:rsidR="00A27563" w:rsidRPr="001F6006">
        <w:rPr>
          <w:rFonts w:ascii="Times New Roman" w:eastAsia="Times New Roman" w:hAnsi="Times New Roman"/>
          <w:bCs/>
          <w:sz w:val="24"/>
          <w:szCs w:val="24"/>
          <w:lang w:val="tr-TR" w:eastAsia="en-US"/>
        </w:rPr>
        <w:t xml:space="preserve">iletim </w:t>
      </w:r>
      <w:r w:rsidR="002D2F08" w:rsidRPr="001F6006">
        <w:rPr>
          <w:rFonts w:ascii="Times New Roman" w:eastAsia="Times New Roman" w:hAnsi="Times New Roman"/>
          <w:bCs/>
          <w:sz w:val="24"/>
          <w:szCs w:val="24"/>
          <w:lang w:val="tr-TR" w:eastAsia="en-US"/>
        </w:rPr>
        <w:t>bedelleri</w:t>
      </w:r>
      <w:r w:rsidR="00A27563" w:rsidRPr="001F6006">
        <w:rPr>
          <w:rFonts w:ascii="Times New Roman" w:eastAsia="Times New Roman" w:hAnsi="Times New Roman"/>
          <w:bCs/>
          <w:sz w:val="24"/>
          <w:szCs w:val="24"/>
          <w:lang w:val="tr-TR" w:eastAsia="en-US"/>
        </w:rPr>
        <w:t xml:space="preserve"> ile varsa yakıt maliyeti parametrelerinde meydana gelen değişimler dikkate alınır. </w:t>
      </w:r>
      <w:r w:rsidRPr="001F6006">
        <w:rPr>
          <w:rFonts w:ascii="Times New Roman" w:eastAsia="Times New Roman" w:hAnsi="Times New Roman"/>
          <w:bCs/>
          <w:sz w:val="24"/>
          <w:szCs w:val="24"/>
          <w:lang w:val="tr-TR" w:eastAsia="en-US"/>
        </w:rPr>
        <w:t xml:space="preserve">Güncelleme </w:t>
      </w:r>
      <w:r w:rsidR="00A04111" w:rsidRPr="001F6006">
        <w:rPr>
          <w:rFonts w:ascii="Times New Roman" w:eastAsia="Times New Roman" w:hAnsi="Times New Roman"/>
          <w:bCs/>
          <w:sz w:val="24"/>
          <w:szCs w:val="24"/>
          <w:lang w:val="tr-TR" w:eastAsia="en-US"/>
        </w:rPr>
        <w:t>fatura</w:t>
      </w:r>
      <w:r w:rsidRPr="001F6006">
        <w:rPr>
          <w:rFonts w:ascii="Times New Roman" w:eastAsia="Times New Roman" w:hAnsi="Times New Roman"/>
          <w:bCs/>
          <w:sz w:val="24"/>
          <w:szCs w:val="24"/>
          <w:lang w:val="tr-TR" w:eastAsia="en-US"/>
        </w:rPr>
        <w:t xml:space="preserve"> dönemler</w:t>
      </w:r>
      <w:r w:rsidR="00A04111" w:rsidRPr="001F6006">
        <w:rPr>
          <w:rFonts w:ascii="Times New Roman" w:eastAsia="Times New Roman" w:hAnsi="Times New Roman"/>
          <w:bCs/>
          <w:sz w:val="24"/>
          <w:szCs w:val="24"/>
          <w:lang w:val="tr-TR" w:eastAsia="en-US"/>
        </w:rPr>
        <w:t>i</w:t>
      </w:r>
      <w:r w:rsidRPr="001F6006">
        <w:rPr>
          <w:rFonts w:ascii="Times New Roman" w:eastAsia="Times New Roman" w:hAnsi="Times New Roman"/>
          <w:bCs/>
          <w:sz w:val="24"/>
          <w:szCs w:val="24"/>
          <w:lang w:val="tr-TR" w:eastAsia="en-US"/>
        </w:rPr>
        <w:t xml:space="preserve"> itibarıyla yapılır. </w:t>
      </w:r>
    </w:p>
    <w:p w:rsidR="000A1616" w:rsidRDefault="000A1616" w:rsidP="002374C4">
      <w:pPr>
        <w:tabs>
          <w:tab w:val="left" w:pos="369"/>
        </w:tabs>
        <w:spacing w:after="0" w:line="240" w:lineRule="auto"/>
        <w:jc w:val="both"/>
        <w:rPr>
          <w:rFonts w:ascii="Times New Roman" w:eastAsia="Times New Roman" w:hAnsi="Times New Roman"/>
          <w:bCs/>
          <w:sz w:val="24"/>
          <w:szCs w:val="24"/>
          <w:lang w:val="tr-TR" w:eastAsia="en-US"/>
        </w:rPr>
      </w:pPr>
    </w:p>
    <w:p w:rsidR="00D77689" w:rsidRPr="001F6006" w:rsidRDefault="00D77689" w:rsidP="002374C4">
      <w:pPr>
        <w:tabs>
          <w:tab w:val="left" w:pos="369"/>
        </w:tabs>
        <w:spacing w:after="0" w:line="240" w:lineRule="auto"/>
        <w:jc w:val="both"/>
        <w:rPr>
          <w:rFonts w:ascii="Times New Roman" w:eastAsia="Times New Roman" w:hAnsi="Times New Roman"/>
          <w:bCs/>
          <w:sz w:val="24"/>
          <w:szCs w:val="24"/>
          <w:lang w:val="tr-TR" w:eastAsia="en-US"/>
        </w:rPr>
      </w:pPr>
    </w:p>
    <w:p w:rsidR="000A1616" w:rsidRPr="001F6006" w:rsidRDefault="000A1616" w:rsidP="002374C4">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lastRenderedPageBreak/>
        <w:tab/>
      </w:r>
      <w:r w:rsidRPr="001F6006">
        <w:rPr>
          <w:rFonts w:ascii="Times New Roman" w:eastAsia="Times New Roman" w:hAnsi="Times New Roman"/>
          <w:b/>
          <w:bCs/>
          <w:sz w:val="24"/>
          <w:szCs w:val="24"/>
          <w:lang w:val="tr-TR" w:eastAsia="en-US"/>
        </w:rPr>
        <w:t>2018 yılında uygulanacak kapasite mekanizması</w:t>
      </w:r>
    </w:p>
    <w:p w:rsidR="00594816" w:rsidRPr="00105211" w:rsidRDefault="000A1616" w:rsidP="002374C4">
      <w:pPr>
        <w:tabs>
          <w:tab w:val="left" w:pos="369"/>
        </w:tabs>
        <w:spacing w:after="0" w:line="240" w:lineRule="auto"/>
        <w:jc w:val="both"/>
        <w:rPr>
          <w:rFonts w:ascii="Times New Roman" w:eastAsia="Times New Roman" w:hAnsi="Times New Roman"/>
          <w:bCs/>
          <w:sz w:val="24"/>
          <w:szCs w:val="24"/>
          <w:lang w:val="tr-TR" w:eastAsia="en-US"/>
        </w:rPr>
      </w:pPr>
      <w:r w:rsidRPr="001F6006">
        <w:rPr>
          <w:rFonts w:ascii="Times New Roman" w:eastAsia="Times New Roman" w:hAnsi="Times New Roman"/>
          <w:bCs/>
          <w:sz w:val="24"/>
          <w:szCs w:val="24"/>
          <w:lang w:val="tr-TR" w:eastAsia="en-US"/>
        </w:rPr>
        <w:tab/>
      </w:r>
      <w:r w:rsidRPr="001F6006">
        <w:rPr>
          <w:rFonts w:ascii="Times New Roman" w:eastAsia="Times New Roman" w:hAnsi="Times New Roman"/>
          <w:b/>
          <w:bCs/>
          <w:sz w:val="24"/>
          <w:szCs w:val="24"/>
          <w:lang w:val="tr-TR" w:eastAsia="en-US"/>
        </w:rPr>
        <w:t xml:space="preserve">GEÇİCİ MADDE 1 </w:t>
      </w:r>
      <w:r w:rsidRPr="001F6006">
        <w:rPr>
          <w:rFonts w:ascii="Times New Roman" w:eastAsia="Times New Roman" w:hAnsi="Times New Roman"/>
          <w:bCs/>
          <w:sz w:val="24"/>
          <w:szCs w:val="24"/>
          <w:lang w:val="tr-TR" w:eastAsia="en-US"/>
        </w:rPr>
        <w:t>- (1) 2018 yılında kapasite mekanizmasından yararlanacak tesislere ilişkin başvurular</w:t>
      </w:r>
      <w:r w:rsidR="007A65F7" w:rsidRPr="001F6006">
        <w:rPr>
          <w:rFonts w:ascii="Times New Roman" w:eastAsia="Times New Roman" w:hAnsi="Times New Roman"/>
          <w:bCs/>
          <w:sz w:val="24"/>
          <w:szCs w:val="24"/>
          <w:lang w:val="tr-TR" w:eastAsia="en-US"/>
        </w:rPr>
        <w:t xml:space="preserve"> </w:t>
      </w:r>
      <w:r w:rsidR="00EE7B8D" w:rsidRPr="00105211">
        <w:rPr>
          <w:rFonts w:ascii="Times New Roman" w:eastAsia="Times New Roman" w:hAnsi="Times New Roman"/>
          <w:bCs/>
          <w:sz w:val="24"/>
          <w:szCs w:val="24"/>
          <w:lang w:val="tr-TR" w:eastAsia="en-US"/>
        </w:rPr>
        <w:t>31</w:t>
      </w:r>
      <w:r w:rsidR="007A65F7" w:rsidRPr="00105211">
        <w:rPr>
          <w:rFonts w:ascii="Times New Roman" w:eastAsia="Times New Roman" w:hAnsi="Times New Roman"/>
          <w:bCs/>
          <w:sz w:val="24"/>
          <w:szCs w:val="24"/>
          <w:lang w:val="tr-TR" w:eastAsia="en-US"/>
        </w:rPr>
        <w:t xml:space="preserve">/1/2018 tarihine kadar Sistem İşletmecisine yapılır. Sistem İşletmecisi yapılan başvuruları değerlendirerek 2018 yılında kapasite mekanizmasından yararlanacak tesisleri en geç </w:t>
      </w:r>
      <w:r w:rsidR="00EE7B8D" w:rsidRPr="00105211">
        <w:rPr>
          <w:rFonts w:ascii="Times New Roman" w:eastAsia="Times New Roman" w:hAnsi="Times New Roman"/>
          <w:bCs/>
          <w:sz w:val="24"/>
          <w:szCs w:val="24"/>
          <w:lang w:val="tr-TR" w:eastAsia="en-US"/>
        </w:rPr>
        <w:t>15</w:t>
      </w:r>
      <w:r w:rsidR="007A65F7" w:rsidRPr="00105211">
        <w:rPr>
          <w:rFonts w:ascii="Times New Roman" w:eastAsia="Times New Roman" w:hAnsi="Times New Roman"/>
          <w:bCs/>
          <w:sz w:val="24"/>
          <w:szCs w:val="24"/>
          <w:lang w:val="tr-TR" w:eastAsia="en-US"/>
        </w:rPr>
        <w:t>/</w:t>
      </w:r>
      <w:r w:rsidR="00EE7B8D" w:rsidRPr="00105211">
        <w:rPr>
          <w:rFonts w:ascii="Times New Roman" w:eastAsia="Times New Roman" w:hAnsi="Times New Roman"/>
          <w:bCs/>
          <w:sz w:val="24"/>
          <w:szCs w:val="24"/>
          <w:lang w:val="tr-TR" w:eastAsia="en-US"/>
        </w:rPr>
        <w:t>2</w:t>
      </w:r>
      <w:r w:rsidR="007A65F7" w:rsidRPr="00105211">
        <w:rPr>
          <w:rFonts w:ascii="Times New Roman" w:eastAsia="Times New Roman" w:hAnsi="Times New Roman"/>
          <w:bCs/>
          <w:sz w:val="24"/>
          <w:szCs w:val="24"/>
          <w:lang w:val="tr-TR" w:eastAsia="en-US"/>
        </w:rPr>
        <w:t xml:space="preserve">/2018 günü internet sitesinden duyurur ve Kuruma bildirir. Söz konusu tesisler 1/1/2018 tarihinden itibaren kapasite mekanizmasına </w:t>
      </w:r>
      <w:r w:rsidR="002965A8" w:rsidRPr="00105211">
        <w:rPr>
          <w:rFonts w:ascii="Times New Roman" w:eastAsia="Times New Roman" w:hAnsi="Times New Roman"/>
          <w:bCs/>
          <w:sz w:val="24"/>
          <w:szCs w:val="24"/>
          <w:lang w:val="tr-TR" w:eastAsia="en-US"/>
        </w:rPr>
        <w:t>dâhil</w:t>
      </w:r>
      <w:r w:rsidR="007A65F7" w:rsidRPr="00105211">
        <w:rPr>
          <w:rFonts w:ascii="Times New Roman" w:eastAsia="Times New Roman" w:hAnsi="Times New Roman"/>
          <w:bCs/>
          <w:sz w:val="24"/>
          <w:szCs w:val="24"/>
          <w:lang w:val="tr-TR" w:eastAsia="en-US"/>
        </w:rPr>
        <w:t xml:space="preserve"> edilir.</w:t>
      </w:r>
      <w:r w:rsidR="002008FB" w:rsidRPr="00105211">
        <w:rPr>
          <w:rFonts w:ascii="Times New Roman" w:eastAsia="Times New Roman" w:hAnsi="Times New Roman"/>
          <w:bCs/>
          <w:sz w:val="24"/>
          <w:szCs w:val="24"/>
          <w:lang w:val="tr-TR" w:eastAsia="en-US"/>
        </w:rPr>
        <w:tab/>
      </w:r>
    </w:p>
    <w:p w:rsidR="00483EEE" w:rsidRPr="00105211" w:rsidRDefault="00483EEE" w:rsidP="002374C4">
      <w:pPr>
        <w:tabs>
          <w:tab w:val="left" w:pos="369"/>
        </w:tabs>
        <w:spacing w:after="0" w:line="240" w:lineRule="auto"/>
        <w:jc w:val="both"/>
        <w:rPr>
          <w:rFonts w:ascii="Times New Roman" w:eastAsia="Times New Roman" w:hAnsi="Times New Roman"/>
          <w:bCs/>
          <w:sz w:val="24"/>
          <w:szCs w:val="24"/>
          <w:lang w:val="tr-TR" w:eastAsia="en-US"/>
        </w:rPr>
      </w:pPr>
    </w:p>
    <w:p w:rsidR="002008FB" w:rsidRPr="001F6006" w:rsidRDefault="00594816" w:rsidP="002374C4">
      <w:pPr>
        <w:tabs>
          <w:tab w:val="left" w:pos="369"/>
        </w:tabs>
        <w:spacing w:after="0" w:line="240" w:lineRule="auto"/>
        <w:jc w:val="both"/>
        <w:rPr>
          <w:rFonts w:ascii="Times New Roman" w:eastAsia="Times New Roman" w:hAnsi="Times New Roman"/>
          <w:bCs/>
          <w:sz w:val="24"/>
          <w:szCs w:val="24"/>
          <w:lang w:val="tr-TR" w:eastAsia="en-US"/>
        </w:rPr>
      </w:pPr>
      <w:r w:rsidRPr="00105211">
        <w:rPr>
          <w:rFonts w:ascii="Times New Roman" w:eastAsia="Times New Roman" w:hAnsi="Times New Roman"/>
          <w:bCs/>
          <w:sz w:val="24"/>
          <w:szCs w:val="24"/>
          <w:lang w:val="tr-TR" w:eastAsia="en-US"/>
        </w:rPr>
        <w:tab/>
      </w:r>
      <w:r w:rsidR="002008FB" w:rsidRPr="00105211">
        <w:rPr>
          <w:rFonts w:ascii="Times New Roman" w:eastAsia="Times New Roman" w:hAnsi="Times New Roman"/>
          <w:bCs/>
          <w:sz w:val="24"/>
          <w:szCs w:val="24"/>
          <w:lang w:val="tr-TR" w:eastAsia="en-US"/>
        </w:rPr>
        <w:t>(2)</w:t>
      </w:r>
      <w:r w:rsidR="000A2D0E" w:rsidRPr="00105211">
        <w:rPr>
          <w:rFonts w:ascii="Times New Roman" w:eastAsia="Times New Roman" w:hAnsi="Times New Roman"/>
          <w:bCs/>
          <w:sz w:val="24"/>
          <w:szCs w:val="24"/>
          <w:lang w:val="tr-TR" w:eastAsia="en-US"/>
        </w:rPr>
        <w:t xml:space="preserve"> 2018 yılında yapılacak kapasite ödemelerine esas yıllık bütçeye ve bütçenin yıl içerisindeki fatura dönemlerine dağılımına dair öneri, Türkiye Elektrik İletim Anonim Şirketi TEİAŞ tarafından 31/1/201</w:t>
      </w:r>
      <w:r w:rsidR="00662AD3">
        <w:rPr>
          <w:rFonts w:ascii="Times New Roman" w:eastAsia="Times New Roman" w:hAnsi="Times New Roman"/>
          <w:bCs/>
          <w:sz w:val="24"/>
          <w:szCs w:val="24"/>
          <w:lang w:val="tr-TR" w:eastAsia="en-US"/>
        </w:rPr>
        <w:t>8</w:t>
      </w:r>
      <w:r w:rsidR="000A2D0E" w:rsidRPr="001F6006">
        <w:rPr>
          <w:rFonts w:ascii="Times New Roman" w:eastAsia="Times New Roman" w:hAnsi="Times New Roman"/>
          <w:bCs/>
          <w:sz w:val="24"/>
          <w:szCs w:val="24"/>
          <w:lang w:val="tr-TR" w:eastAsia="en-US"/>
        </w:rPr>
        <w:t xml:space="preserve"> tarihine kadar Kuruma sunulur.</w:t>
      </w:r>
    </w:p>
    <w:p w:rsidR="002374C4" w:rsidRPr="001F6006" w:rsidRDefault="002374C4" w:rsidP="002374C4">
      <w:pPr>
        <w:tabs>
          <w:tab w:val="left" w:pos="369"/>
        </w:tabs>
        <w:spacing w:after="0" w:line="240" w:lineRule="auto"/>
        <w:jc w:val="both"/>
        <w:rPr>
          <w:b/>
          <w:lang w:val="tr-TR"/>
        </w:rPr>
      </w:pPr>
    </w:p>
    <w:p w:rsidR="001F6006" w:rsidRPr="001F6006" w:rsidRDefault="001F6006" w:rsidP="002374C4">
      <w:pPr>
        <w:tabs>
          <w:tab w:val="left" w:pos="369"/>
        </w:tabs>
        <w:spacing w:after="0" w:line="240" w:lineRule="auto"/>
        <w:jc w:val="both"/>
        <w:rPr>
          <w:b/>
          <w:lang w:val="tr-TR"/>
        </w:rPr>
      </w:pPr>
    </w:p>
    <w:p w:rsidR="00A27563" w:rsidRPr="001F6006" w:rsidRDefault="00A27563" w:rsidP="00A27563">
      <w:pPr>
        <w:pStyle w:val="Madde"/>
        <w:tabs>
          <w:tab w:val="clear" w:pos="369"/>
        </w:tabs>
        <w:spacing w:before="0"/>
        <w:jc w:val="center"/>
        <w:rPr>
          <w:color w:val="auto"/>
        </w:rPr>
      </w:pPr>
    </w:p>
    <w:p w:rsidR="00A27563" w:rsidRPr="001F6006" w:rsidRDefault="00A166E4" w:rsidP="00A27563">
      <w:pPr>
        <w:pStyle w:val="Madde"/>
        <w:tabs>
          <w:tab w:val="clear" w:pos="369"/>
        </w:tabs>
        <w:spacing w:before="0"/>
        <w:jc w:val="center"/>
        <w:rPr>
          <w:color w:val="auto"/>
        </w:rPr>
      </w:pPr>
      <w:r>
        <w:rPr>
          <w:color w:val="auto"/>
        </w:rPr>
        <w:t>DÖRDÜNCÜ</w:t>
      </w:r>
      <w:r w:rsidRPr="001F6006">
        <w:rPr>
          <w:color w:val="auto"/>
        </w:rPr>
        <w:t xml:space="preserve"> </w:t>
      </w:r>
      <w:r w:rsidR="00A27563" w:rsidRPr="001F6006">
        <w:rPr>
          <w:color w:val="auto"/>
        </w:rPr>
        <w:t>BÖLÜM</w:t>
      </w:r>
    </w:p>
    <w:p w:rsidR="00A27563" w:rsidRPr="001F6006" w:rsidRDefault="001A1C4F" w:rsidP="00A27563">
      <w:pPr>
        <w:spacing w:line="240" w:lineRule="auto"/>
        <w:jc w:val="center"/>
        <w:rPr>
          <w:rFonts w:ascii="Times New Roman" w:hAnsi="Times New Roman"/>
          <w:b/>
          <w:sz w:val="24"/>
          <w:szCs w:val="24"/>
          <w:lang w:val="tr-TR"/>
        </w:rPr>
      </w:pPr>
      <w:r>
        <w:rPr>
          <w:rFonts w:ascii="Times New Roman" w:hAnsi="Times New Roman"/>
          <w:b/>
          <w:sz w:val="24"/>
          <w:szCs w:val="24"/>
          <w:lang w:val="tr-TR"/>
        </w:rPr>
        <w:t xml:space="preserve">           </w:t>
      </w:r>
      <w:r w:rsidR="00A166E4">
        <w:rPr>
          <w:rFonts w:ascii="Times New Roman" w:hAnsi="Times New Roman"/>
          <w:b/>
          <w:sz w:val="24"/>
          <w:szCs w:val="24"/>
          <w:lang w:val="tr-TR"/>
        </w:rPr>
        <w:t>Son Hükümler</w:t>
      </w:r>
    </w:p>
    <w:p w:rsidR="00A27563" w:rsidRPr="001F6006" w:rsidRDefault="00A27563" w:rsidP="00A27563">
      <w:pPr>
        <w:pStyle w:val="Madde"/>
        <w:tabs>
          <w:tab w:val="clear" w:pos="369"/>
        </w:tabs>
        <w:spacing w:before="0"/>
        <w:rPr>
          <w:color w:val="auto"/>
        </w:rPr>
      </w:pPr>
      <w:r w:rsidRPr="001F6006">
        <w:rPr>
          <w:color w:val="auto"/>
        </w:rPr>
        <w:t>Yürürlük</w:t>
      </w:r>
    </w:p>
    <w:p w:rsidR="00A27563" w:rsidRPr="001F6006" w:rsidRDefault="00A27563" w:rsidP="00A27563">
      <w:pPr>
        <w:pStyle w:val="Madde"/>
        <w:tabs>
          <w:tab w:val="clear" w:pos="369"/>
        </w:tabs>
        <w:spacing w:before="0"/>
        <w:rPr>
          <w:b w:val="0"/>
          <w:color w:val="auto"/>
        </w:rPr>
      </w:pPr>
      <w:r w:rsidRPr="001F6006">
        <w:rPr>
          <w:color w:val="auto"/>
        </w:rPr>
        <w:t>M</w:t>
      </w:r>
      <w:r w:rsidR="00A166E4" w:rsidRPr="001F6006">
        <w:rPr>
          <w:color w:val="auto"/>
        </w:rPr>
        <w:t>ADDE</w:t>
      </w:r>
      <w:r w:rsidRPr="001F6006">
        <w:rPr>
          <w:color w:val="auto"/>
        </w:rPr>
        <w:t xml:space="preserve"> 1</w:t>
      </w:r>
      <w:r w:rsidR="00F0673E" w:rsidRPr="001F6006">
        <w:rPr>
          <w:color w:val="auto"/>
        </w:rPr>
        <w:t>1</w:t>
      </w:r>
      <w:r w:rsidRPr="001F6006">
        <w:rPr>
          <w:color w:val="auto"/>
        </w:rPr>
        <w:t>-</w:t>
      </w:r>
      <w:r w:rsidRPr="001F6006">
        <w:rPr>
          <w:b w:val="0"/>
          <w:color w:val="auto"/>
        </w:rPr>
        <w:t xml:space="preserve"> (1) Bu Yönetmelik yayımı tarihi</w:t>
      </w:r>
      <w:r w:rsidR="0009318F" w:rsidRPr="001F6006">
        <w:rPr>
          <w:b w:val="0"/>
          <w:color w:val="auto"/>
        </w:rPr>
        <w:t>nde</w:t>
      </w:r>
      <w:r w:rsidR="006A1D85" w:rsidRPr="001F6006">
        <w:rPr>
          <w:b w:val="0"/>
          <w:color w:val="auto"/>
        </w:rPr>
        <w:t xml:space="preserve"> </w:t>
      </w:r>
      <w:r w:rsidRPr="001F6006">
        <w:rPr>
          <w:b w:val="0"/>
          <w:color w:val="auto"/>
        </w:rPr>
        <w:t>yürürlüğe girer.</w:t>
      </w:r>
    </w:p>
    <w:p w:rsidR="00A27563" w:rsidRPr="001F6006" w:rsidRDefault="00A27563" w:rsidP="00A27563">
      <w:pPr>
        <w:pStyle w:val="Madde"/>
        <w:tabs>
          <w:tab w:val="clear" w:pos="369"/>
        </w:tabs>
        <w:spacing w:before="0"/>
        <w:rPr>
          <w:b w:val="0"/>
          <w:color w:val="auto"/>
        </w:rPr>
      </w:pPr>
    </w:p>
    <w:p w:rsidR="00A27563" w:rsidRPr="001F6006" w:rsidRDefault="00A27563" w:rsidP="00A27563">
      <w:pPr>
        <w:pStyle w:val="Madde"/>
        <w:tabs>
          <w:tab w:val="clear" w:pos="369"/>
        </w:tabs>
        <w:spacing w:before="0"/>
        <w:rPr>
          <w:color w:val="auto"/>
        </w:rPr>
      </w:pPr>
      <w:r w:rsidRPr="001F6006">
        <w:rPr>
          <w:color w:val="auto"/>
        </w:rPr>
        <w:t>Yürütme</w:t>
      </w:r>
    </w:p>
    <w:p w:rsidR="00A27563" w:rsidRPr="007C53F9" w:rsidRDefault="002374C4" w:rsidP="007C53F9">
      <w:pPr>
        <w:pStyle w:val="Madde"/>
        <w:tabs>
          <w:tab w:val="clear" w:pos="369"/>
        </w:tabs>
        <w:spacing w:before="0"/>
        <w:rPr>
          <w:b w:val="0"/>
          <w:color w:val="auto"/>
        </w:rPr>
      </w:pPr>
      <w:r w:rsidRPr="007C53F9">
        <w:rPr>
          <w:color w:val="auto"/>
        </w:rPr>
        <w:t>M</w:t>
      </w:r>
      <w:r w:rsidR="00A166E4" w:rsidRPr="007C53F9">
        <w:rPr>
          <w:color w:val="auto"/>
        </w:rPr>
        <w:t>ADDE</w:t>
      </w:r>
      <w:r w:rsidRPr="007C53F9">
        <w:rPr>
          <w:color w:val="auto"/>
        </w:rPr>
        <w:t xml:space="preserve"> 1</w:t>
      </w:r>
      <w:r w:rsidR="00F0673E" w:rsidRPr="007C53F9">
        <w:rPr>
          <w:color w:val="auto"/>
        </w:rPr>
        <w:t>2</w:t>
      </w:r>
      <w:r w:rsidR="00A27563" w:rsidRPr="007C53F9">
        <w:rPr>
          <w:color w:val="auto"/>
        </w:rPr>
        <w:t xml:space="preserve"> -</w:t>
      </w:r>
      <w:r w:rsidR="00A27563" w:rsidRPr="007C53F9">
        <w:rPr>
          <w:b w:val="0"/>
          <w:color w:val="auto"/>
        </w:rPr>
        <w:t xml:space="preserve"> (1) Bu Yönetmelik hükümlerini</w:t>
      </w:r>
      <w:r w:rsidR="003A740D" w:rsidRPr="007C53F9">
        <w:rPr>
          <w:b w:val="0"/>
          <w:color w:val="auto"/>
        </w:rPr>
        <w:t xml:space="preserve"> Enerji Piyasası Düzenleme Kurumu</w:t>
      </w:r>
      <w:r w:rsidR="00A27563" w:rsidRPr="007C53F9">
        <w:rPr>
          <w:b w:val="0"/>
          <w:color w:val="auto"/>
        </w:rPr>
        <w:t xml:space="preserve"> Başkan</w:t>
      </w:r>
      <w:r w:rsidR="003A740D" w:rsidRPr="007C53F9">
        <w:rPr>
          <w:b w:val="0"/>
          <w:color w:val="auto"/>
        </w:rPr>
        <w:t>ı</w:t>
      </w:r>
      <w:r w:rsidR="00A27563" w:rsidRPr="007C53F9">
        <w:rPr>
          <w:b w:val="0"/>
          <w:color w:val="auto"/>
        </w:rPr>
        <w:t xml:space="preserve"> yürütür.</w:t>
      </w:r>
    </w:p>
    <w:p w:rsidR="00A27563" w:rsidRPr="007C53F9" w:rsidRDefault="00A27563" w:rsidP="007C53F9">
      <w:pPr>
        <w:pStyle w:val="Madde"/>
        <w:tabs>
          <w:tab w:val="clear" w:pos="369"/>
        </w:tabs>
        <w:spacing w:before="0"/>
        <w:ind w:firstLine="0"/>
        <w:rPr>
          <w:b w:val="0"/>
          <w:color w:val="auto"/>
        </w:rPr>
      </w:pPr>
    </w:p>
    <w:p w:rsidR="00E46FEE" w:rsidRPr="007C53F9" w:rsidRDefault="00E46FEE" w:rsidP="007C53F9">
      <w:pPr>
        <w:spacing w:after="0" w:line="240" w:lineRule="auto"/>
        <w:rPr>
          <w:sz w:val="24"/>
          <w:szCs w:val="24"/>
          <w:lang w:val="tr-TR"/>
        </w:rPr>
      </w:pPr>
    </w:p>
    <w:p w:rsidR="007C53F9" w:rsidRPr="007C53F9" w:rsidRDefault="007C53F9" w:rsidP="007C53F9">
      <w:pPr>
        <w:spacing w:after="0" w:line="240" w:lineRule="auto"/>
        <w:rPr>
          <w:sz w:val="24"/>
          <w:szCs w:val="24"/>
          <w:lang w:val="tr-TR"/>
        </w:rPr>
      </w:pPr>
    </w:p>
    <w:p w:rsidR="007C53F9" w:rsidRPr="007C53F9" w:rsidRDefault="007C53F9" w:rsidP="007C53F9">
      <w:pPr>
        <w:spacing w:after="0" w:line="240" w:lineRule="auto"/>
        <w:rPr>
          <w:sz w:val="24"/>
          <w:szCs w:val="24"/>
          <w:lang w:val="tr-TR"/>
        </w:rPr>
      </w:pPr>
    </w:p>
    <w:sectPr w:rsidR="007C53F9" w:rsidRPr="007C53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03F" w:rsidRDefault="008E003F" w:rsidP="00977622">
      <w:pPr>
        <w:spacing w:after="0" w:line="240" w:lineRule="auto"/>
      </w:pPr>
      <w:r>
        <w:separator/>
      </w:r>
    </w:p>
  </w:endnote>
  <w:endnote w:type="continuationSeparator" w:id="0">
    <w:p w:rsidR="008E003F" w:rsidRDefault="008E003F" w:rsidP="0097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A2"/>
    <w:family w:val="swiss"/>
    <w:pitch w:val="variable"/>
    <w:sig w:usb0="E10022FF" w:usb1="C000E47F" w:usb2="00000029" w:usb3="00000000" w:csb0="000001DF" w:csb1="00000000"/>
  </w:font>
  <w:font w:name="ヒラギノ明朝 Pro W3">
    <w:altName w:val="MS Mincho"/>
    <w:charset w:val="80"/>
    <w:family w:val="auto"/>
    <w:pitch w:val="variable"/>
    <w:sig w:usb0="00000001" w:usb1="08070000" w:usb2="01000417" w:usb3="00000000" w:csb0="00020000" w:csb1="00000000"/>
  </w:font>
  <w:font w:name="Cambria Math">
    <w:panose1 w:val="02040503050406030204"/>
    <w:charset w:val="A2"/>
    <w:family w:val="roman"/>
    <w:pitch w:val="variable"/>
    <w:sig w:usb0="E00002FF" w:usb1="420024FF" w:usb2="00000000" w:usb3="00000000" w:csb0="0000019F" w:csb1="00000000"/>
  </w:font>
  <w:font w:name="Calibri Light">
    <w:altName w:val="Calibri"/>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78351"/>
      <w:docPartObj>
        <w:docPartGallery w:val="Page Numbers (Bottom of Page)"/>
        <w:docPartUnique/>
      </w:docPartObj>
    </w:sdtPr>
    <w:sdtEndPr/>
    <w:sdtContent>
      <w:p w:rsidR="001F6006" w:rsidRDefault="001F6006">
        <w:pPr>
          <w:pStyle w:val="Altbilgi"/>
          <w:jc w:val="right"/>
        </w:pPr>
        <w:r>
          <w:fldChar w:fldCharType="begin"/>
        </w:r>
        <w:r>
          <w:instrText>PAGE   \* MERGEFORMAT</w:instrText>
        </w:r>
        <w:r>
          <w:fldChar w:fldCharType="separate"/>
        </w:r>
        <w:r w:rsidR="009B40A0" w:rsidRPr="009B40A0">
          <w:rPr>
            <w:noProof/>
            <w:lang w:val="tr-TR"/>
          </w:rPr>
          <w:t>2</w:t>
        </w:r>
        <w:r>
          <w:fldChar w:fldCharType="end"/>
        </w:r>
      </w:p>
    </w:sdtContent>
  </w:sdt>
  <w:p w:rsidR="00977622" w:rsidRDefault="009776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03F" w:rsidRDefault="008E003F" w:rsidP="00977622">
      <w:pPr>
        <w:spacing w:after="0" w:line="240" w:lineRule="auto"/>
      </w:pPr>
      <w:r>
        <w:separator/>
      </w:r>
    </w:p>
  </w:footnote>
  <w:footnote w:type="continuationSeparator" w:id="0">
    <w:p w:rsidR="008E003F" w:rsidRDefault="008E003F" w:rsidP="00977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6DA"/>
    <w:multiLevelType w:val="hybridMultilevel"/>
    <w:tmpl w:val="241EFB96"/>
    <w:lvl w:ilvl="0" w:tplc="FDAC52A4">
      <w:start w:val="1"/>
      <w:numFmt w:val="lowerLetter"/>
      <w:lvlText w:val="%1)"/>
      <w:lvlJc w:val="left"/>
      <w:pPr>
        <w:ind w:left="1494" w:hanging="360"/>
      </w:pPr>
      <w:rPr>
        <w:rFonts w:hint="default"/>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nsid w:val="29880FA5"/>
    <w:multiLevelType w:val="hybridMultilevel"/>
    <w:tmpl w:val="45A65BFC"/>
    <w:lvl w:ilvl="0" w:tplc="081EDF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C160A14"/>
    <w:multiLevelType w:val="hybridMultilevel"/>
    <w:tmpl w:val="9530F75E"/>
    <w:lvl w:ilvl="0" w:tplc="BD76D130">
      <w:start w:val="6"/>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1BF30D9"/>
    <w:multiLevelType w:val="hybridMultilevel"/>
    <w:tmpl w:val="4B0A53B4"/>
    <w:lvl w:ilvl="0" w:tplc="E06E8DD4">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2413DE"/>
    <w:multiLevelType w:val="hybridMultilevel"/>
    <w:tmpl w:val="B866ABE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D297C51"/>
    <w:multiLevelType w:val="hybridMultilevel"/>
    <w:tmpl w:val="4B0A53B4"/>
    <w:lvl w:ilvl="0" w:tplc="E06E8DD4">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re Saltabaş">
    <w15:presenceInfo w15:providerId="AD" w15:userId="S-1-5-21-1769817675-3466106686-378508370-18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63"/>
    <w:rsid w:val="00030D71"/>
    <w:rsid w:val="00054284"/>
    <w:rsid w:val="000557DC"/>
    <w:rsid w:val="00061739"/>
    <w:rsid w:val="0009318F"/>
    <w:rsid w:val="000933E3"/>
    <w:rsid w:val="000A1616"/>
    <w:rsid w:val="000A2D0E"/>
    <w:rsid w:val="000A7094"/>
    <w:rsid w:val="000F48ED"/>
    <w:rsid w:val="000F4F16"/>
    <w:rsid w:val="00101D5B"/>
    <w:rsid w:val="00105211"/>
    <w:rsid w:val="001942F6"/>
    <w:rsid w:val="001A1C4F"/>
    <w:rsid w:val="001B5A3D"/>
    <w:rsid w:val="001B7DA5"/>
    <w:rsid w:val="001D52E0"/>
    <w:rsid w:val="001E34E4"/>
    <w:rsid w:val="001F4BA5"/>
    <w:rsid w:val="001F6006"/>
    <w:rsid w:val="001F7AED"/>
    <w:rsid w:val="002008FB"/>
    <w:rsid w:val="002374C4"/>
    <w:rsid w:val="002806B0"/>
    <w:rsid w:val="00280DAA"/>
    <w:rsid w:val="002965A8"/>
    <w:rsid w:val="002A38EA"/>
    <w:rsid w:val="002B7475"/>
    <w:rsid w:val="002C5308"/>
    <w:rsid w:val="002C728E"/>
    <w:rsid w:val="002D2F08"/>
    <w:rsid w:val="002E71CC"/>
    <w:rsid w:val="0034048E"/>
    <w:rsid w:val="003674C0"/>
    <w:rsid w:val="003A740D"/>
    <w:rsid w:val="003C31EF"/>
    <w:rsid w:val="003D72BB"/>
    <w:rsid w:val="003E0100"/>
    <w:rsid w:val="003F4ADC"/>
    <w:rsid w:val="003F77A1"/>
    <w:rsid w:val="00446FB3"/>
    <w:rsid w:val="00454179"/>
    <w:rsid w:val="00461D65"/>
    <w:rsid w:val="00483EEE"/>
    <w:rsid w:val="00484A0D"/>
    <w:rsid w:val="004A64DD"/>
    <w:rsid w:val="004E0EB9"/>
    <w:rsid w:val="00522737"/>
    <w:rsid w:val="00594816"/>
    <w:rsid w:val="005A7620"/>
    <w:rsid w:val="005C1F7F"/>
    <w:rsid w:val="00600EBC"/>
    <w:rsid w:val="00655B96"/>
    <w:rsid w:val="00657508"/>
    <w:rsid w:val="0066276F"/>
    <w:rsid w:val="00662AD3"/>
    <w:rsid w:val="006821E1"/>
    <w:rsid w:val="006908A1"/>
    <w:rsid w:val="006A1D85"/>
    <w:rsid w:val="006A71BE"/>
    <w:rsid w:val="006C4AD0"/>
    <w:rsid w:val="006D5AF1"/>
    <w:rsid w:val="006D7FC5"/>
    <w:rsid w:val="00716588"/>
    <w:rsid w:val="0072081D"/>
    <w:rsid w:val="007508CD"/>
    <w:rsid w:val="00765D08"/>
    <w:rsid w:val="00770E96"/>
    <w:rsid w:val="00783946"/>
    <w:rsid w:val="007A65F7"/>
    <w:rsid w:val="007C53F9"/>
    <w:rsid w:val="007E1E96"/>
    <w:rsid w:val="0080113C"/>
    <w:rsid w:val="00845C8F"/>
    <w:rsid w:val="00887FDB"/>
    <w:rsid w:val="008A286D"/>
    <w:rsid w:val="008A4739"/>
    <w:rsid w:val="008E003F"/>
    <w:rsid w:val="008E3045"/>
    <w:rsid w:val="008F50EB"/>
    <w:rsid w:val="00903FA5"/>
    <w:rsid w:val="00947945"/>
    <w:rsid w:val="00977622"/>
    <w:rsid w:val="00984FBD"/>
    <w:rsid w:val="009B40A0"/>
    <w:rsid w:val="009D0F6C"/>
    <w:rsid w:val="009D6FD6"/>
    <w:rsid w:val="009E5AE4"/>
    <w:rsid w:val="009F2D26"/>
    <w:rsid w:val="009F6FF1"/>
    <w:rsid w:val="00A04111"/>
    <w:rsid w:val="00A166E4"/>
    <w:rsid w:val="00A17125"/>
    <w:rsid w:val="00A2110A"/>
    <w:rsid w:val="00A27563"/>
    <w:rsid w:val="00A62A1E"/>
    <w:rsid w:val="00A770A9"/>
    <w:rsid w:val="00AA08C4"/>
    <w:rsid w:val="00AA7861"/>
    <w:rsid w:val="00AB32B3"/>
    <w:rsid w:val="00AB3C78"/>
    <w:rsid w:val="00AB6126"/>
    <w:rsid w:val="00AE515E"/>
    <w:rsid w:val="00AE7002"/>
    <w:rsid w:val="00AF04C5"/>
    <w:rsid w:val="00B040D9"/>
    <w:rsid w:val="00B11A5E"/>
    <w:rsid w:val="00B448D1"/>
    <w:rsid w:val="00B576D9"/>
    <w:rsid w:val="00B647FE"/>
    <w:rsid w:val="00B8010C"/>
    <w:rsid w:val="00B92297"/>
    <w:rsid w:val="00B942F9"/>
    <w:rsid w:val="00BB21BB"/>
    <w:rsid w:val="00BD07E0"/>
    <w:rsid w:val="00C25387"/>
    <w:rsid w:val="00C425FD"/>
    <w:rsid w:val="00C573E0"/>
    <w:rsid w:val="00C62AE8"/>
    <w:rsid w:val="00C91144"/>
    <w:rsid w:val="00CA0AD1"/>
    <w:rsid w:val="00CD017B"/>
    <w:rsid w:val="00CD4DA8"/>
    <w:rsid w:val="00D049FF"/>
    <w:rsid w:val="00D12D6E"/>
    <w:rsid w:val="00D5379F"/>
    <w:rsid w:val="00D77689"/>
    <w:rsid w:val="00D7789E"/>
    <w:rsid w:val="00D95BA3"/>
    <w:rsid w:val="00DD0E33"/>
    <w:rsid w:val="00DE5615"/>
    <w:rsid w:val="00DF3D76"/>
    <w:rsid w:val="00E0238C"/>
    <w:rsid w:val="00E0640C"/>
    <w:rsid w:val="00E46FEE"/>
    <w:rsid w:val="00EA7819"/>
    <w:rsid w:val="00EE7B8D"/>
    <w:rsid w:val="00F0673E"/>
    <w:rsid w:val="00F41A2B"/>
    <w:rsid w:val="00F55373"/>
    <w:rsid w:val="00F70CCC"/>
    <w:rsid w:val="00FB6DC6"/>
    <w:rsid w:val="00FC771F"/>
    <w:rsid w:val="00FD6D0F"/>
    <w:rsid w:val="00FF0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63"/>
    <w:pPr>
      <w:spacing w:after="200" w:line="276" w:lineRule="auto"/>
    </w:pPr>
    <w:rPr>
      <w:rFonts w:ascii="Calibri" w:eastAsia="PMingLiU" w:hAnsi="Calibri" w:cs="Times New Roman"/>
      <w:lang w:val="en-US" w:eastAsia="zh-TW"/>
    </w:rPr>
  </w:style>
  <w:style w:type="paragraph" w:styleId="Balk1">
    <w:name w:val="heading 1"/>
    <w:basedOn w:val="Normal"/>
    <w:next w:val="Normal"/>
    <w:link w:val="Balk1Char"/>
    <w:uiPriority w:val="1"/>
    <w:qFormat/>
    <w:rsid w:val="007C53F9"/>
    <w:pPr>
      <w:keepNext/>
      <w:tabs>
        <w:tab w:val="left" w:pos="2520"/>
      </w:tabs>
      <w:spacing w:after="0" w:line="240" w:lineRule="auto"/>
      <w:jc w:val="center"/>
      <w:outlineLvl w:val="0"/>
    </w:pPr>
    <w:rPr>
      <w:rFonts w:ascii="Times New Roman" w:eastAsia="Times New Roman" w:hAnsi="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7563"/>
    <w:pPr>
      <w:ind w:left="720"/>
      <w:contextualSpacing/>
    </w:pPr>
  </w:style>
  <w:style w:type="character" w:styleId="AklamaBavurusu">
    <w:name w:val="annotation reference"/>
    <w:basedOn w:val="VarsaylanParagrafYazTipi"/>
    <w:uiPriority w:val="99"/>
    <w:semiHidden/>
    <w:unhideWhenUsed/>
    <w:rsid w:val="00A27563"/>
    <w:rPr>
      <w:sz w:val="16"/>
      <w:szCs w:val="16"/>
    </w:rPr>
  </w:style>
  <w:style w:type="paragraph" w:styleId="AklamaMetni">
    <w:name w:val="annotation text"/>
    <w:basedOn w:val="Normal"/>
    <w:link w:val="AklamaMetniChar"/>
    <w:uiPriority w:val="99"/>
    <w:semiHidden/>
    <w:unhideWhenUsed/>
    <w:rsid w:val="00A275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563"/>
    <w:rPr>
      <w:rFonts w:ascii="Calibri" w:eastAsia="PMingLiU" w:hAnsi="Calibri" w:cs="Times New Roman"/>
      <w:sz w:val="20"/>
      <w:szCs w:val="20"/>
      <w:lang w:val="en-US" w:eastAsia="zh-TW"/>
    </w:rPr>
  </w:style>
  <w:style w:type="paragraph" w:customStyle="1" w:styleId="Madde">
    <w:name w:val="Madde"/>
    <w:basedOn w:val="Normal"/>
    <w:rsid w:val="00A27563"/>
    <w:pPr>
      <w:tabs>
        <w:tab w:val="left" w:pos="369"/>
      </w:tabs>
      <w:spacing w:before="360" w:after="0" w:line="240" w:lineRule="auto"/>
      <w:ind w:firstLine="720"/>
      <w:jc w:val="both"/>
    </w:pPr>
    <w:rPr>
      <w:rFonts w:ascii="Times New Roman" w:eastAsia="Times New Roman" w:hAnsi="Times New Roman"/>
      <w:b/>
      <w:bCs/>
      <w:color w:val="000000"/>
      <w:sz w:val="24"/>
      <w:szCs w:val="24"/>
      <w:lang w:val="tr-TR" w:eastAsia="en-US"/>
    </w:rPr>
  </w:style>
  <w:style w:type="paragraph" w:styleId="BalonMetni">
    <w:name w:val="Balloon Text"/>
    <w:basedOn w:val="Normal"/>
    <w:link w:val="BalonMetniChar"/>
    <w:uiPriority w:val="99"/>
    <w:semiHidden/>
    <w:unhideWhenUsed/>
    <w:rsid w:val="00A275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7563"/>
    <w:rPr>
      <w:rFonts w:ascii="Segoe UI" w:eastAsia="PMingLiU" w:hAnsi="Segoe UI" w:cs="Segoe UI"/>
      <w:sz w:val="18"/>
      <w:szCs w:val="18"/>
      <w:lang w:val="en-US" w:eastAsia="zh-TW"/>
    </w:rPr>
  </w:style>
  <w:style w:type="paragraph" w:styleId="AklamaKonusu">
    <w:name w:val="annotation subject"/>
    <w:basedOn w:val="AklamaMetni"/>
    <w:next w:val="AklamaMetni"/>
    <w:link w:val="AklamaKonusuChar"/>
    <w:uiPriority w:val="99"/>
    <w:semiHidden/>
    <w:unhideWhenUsed/>
    <w:rsid w:val="00887FDB"/>
    <w:rPr>
      <w:b/>
      <w:bCs/>
    </w:rPr>
  </w:style>
  <w:style w:type="character" w:customStyle="1" w:styleId="AklamaKonusuChar">
    <w:name w:val="Açıklama Konusu Char"/>
    <w:basedOn w:val="AklamaMetniChar"/>
    <w:link w:val="AklamaKonusu"/>
    <w:uiPriority w:val="99"/>
    <w:semiHidden/>
    <w:rsid w:val="00887FDB"/>
    <w:rPr>
      <w:rFonts w:ascii="Calibri" w:eastAsia="PMingLiU" w:hAnsi="Calibri" w:cs="Times New Roman"/>
      <w:b/>
      <w:bCs/>
      <w:sz w:val="20"/>
      <w:szCs w:val="20"/>
      <w:lang w:val="en-US" w:eastAsia="zh-TW"/>
    </w:rPr>
  </w:style>
  <w:style w:type="paragraph" w:styleId="stbilgi">
    <w:name w:val="header"/>
    <w:basedOn w:val="Normal"/>
    <w:link w:val="stbilgiChar"/>
    <w:uiPriority w:val="99"/>
    <w:unhideWhenUsed/>
    <w:rsid w:val="009776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7622"/>
    <w:rPr>
      <w:rFonts w:ascii="Calibri" w:eastAsia="PMingLiU" w:hAnsi="Calibri" w:cs="Times New Roman"/>
      <w:lang w:val="en-US" w:eastAsia="zh-TW"/>
    </w:rPr>
  </w:style>
  <w:style w:type="paragraph" w:styleId="Altbilgi">
    <w:name w:val="footer"/>
    <w:basedOn w:val="Normal"/>
    <w:link w:val="AltbilgiChar"/>
    <w:uiPriority w:val="99"/>
    <w:unhideWhenUsed/>
    <w:rsid w:val="009776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7622"/>
    <w:rPr>
      <w:rFonts w:ascii="Calibri" w:eastAsia="PMingLiU" w:hAnsi="Calibri" w:cs="Times New Roman"/>
      <w:lang w:val="en-US" w:eastAsia="zh-TW"/>
    </w:rPr>
  </w:style>
  <w:style w:type="character" w:customStyle="1" w:styleId="Balk1Char">
    <w:name w:val="Başlık 1 Char"/>
    <w:basedOn w:val="VarsaylanParagrafYazTipi"/>
    <w:link w:val="Balk1"/>
    <w:uiPriority w:val="1"/>
    <w:rsid w:val="007C53F9"/>
    <w:rPr>
      <w:rFonts w:ascii="Times New Roman" w:eastAsia="Times New Roman" w:hAnsi="Times New Roman" w:cs="Times New Roman"/>
      <w:b/>
      <w:bCs/>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63"/>
    <w:pPr>
      <w:spacing w:after="200" w:line="276" w:lineRule="auto"/>
    </w:pPr>
    <w:rPr>
      <w:rFonts w:ascii="Calibri" w:eastAsia="PMingLiU" w:hAnsi="Calibri" w:cs="Times New Roman"/>
      <w:lang w:val="en-US" w:eastAsia="zh-TW"/>
    </w:rPr>
  </w:style>
  <w:style w:type="paragraph" w:styleId="Balk1">
    <w:name w:val="heading 1"/>
    <w:basedOn w:val="Normal"/>
    <w:next w:val="Normal"/>
    <w:link w:val="Balk1Char"/>
    <w:uiPriority w:val="1"/>
    <w:qFormat/>
    <w:rsid w:val="007C53F9"/>
    <w:pPr>
      <w:keepNext/>
      <w:tabs>
        <w:tab w:val="left" w:pos="2520"/>
      </w:tabs>
      <w:spacing w:after="0" w:line="240" w:lineRule="auto"/>
      <w:jc w:val="center"/>
      <w:outlineLvl w:val="0"/>
    </w:pPr>
    <w:rPr>
      <w:rFonts w:ascii="Times New Roman" w:eastAsia="Times New Roman" w:hAnsi="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7563"/>
    <w:pPr>
      <w:ind w:left="720"/>
      <w:contextualSpacing/>
    </w:pPr>
  </w:style>
  <w:style w:type="character" w:styleId="AklamaBavurusu">
    <w:name w:val="annotation reference"/>
    <w:basedOn w:val="VarsaylanParagrafYazTipi"/>
    <w:uiPriority w:val="99"/>
    <w:semiHidden/>
    <w:unhideWhenUsed/>
    <w:rsid w:val="00A27563"/>
    <w:rPr>
      <w:sz w:val="16"/>
      <w:szCs w:val="16"/>
    </w:rPr>
  </w:style>
  <w:style w:type="paragraph" w:styleId="AklamaMetni">
    <w:name w:val="annotation text"/>
    <w:basedOn w:val="Normal"/>
    <w:link w:val="AklamaMetniChar"/>
    <w:uiPriority w:val="99"/>
    <w:semiHidden/>
    <w:unhideWhenUsed/>
    <w:rsid w:val="00A275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27563"/>
    <w:rPr>
      <w:rFonts w:ascii="Calibri" w:eastAsia="PMingLiU" w:hAnsi="Calibri" w:cs="Times New Roman"/>
      <w:sz w:val="20"/>
      <w:szCs w:val="20"/>
      <w:lang w:val="en-US" w:eastAsia="zh-TW"/>
    </w:rPr>
  </w:style>
  <w:style w:type="paragraph" w:customStyle="1" w:styleId="Madde">
    <w:name w:val="Madde"/>
    <w:basedOn w:val="Normal"/>
    <w:rsid w:val="00A27563"/>
    <w:pPr>
      <w:tabs>
        <w:tab w:val="left" w:pos="369"/>
      </w:tabs>
      <w:spacing w:before="360" w:after="0" w:line="240" w:lineRule="auto"/>
      <w:ind w:firstLine="720"/>
      <w:jc w:val="both"/>
    </w:pPr>
    <w:rPr>
      <w:rFonts w:ascii="Times New Roman" w:eastAsia="Times New Roman" w:hAnsi="Times New Roman"/>
      <w:b/>
      <w:bCs/>
      <w:color w:val="000000"/>
      <w:sz w:val="24"/>
      <w:szCs w:val="24"/>
      <w:lang w:val="tr-TR" w:eastAsia="en-US"/>
    </w:rPr>
  </w:style>
  <w:style w:type="paragraph" w:styleId="BalonMetni">
    <w:name w:val="Balloon Text"/>
    <w:basedOn w:val="Normal"/>
    <w:link w:val="BalonMetniChar"/>
    <w:uiPriority w:val="99"/>
    <w:semiHidden/>
    <w:unhideWhenUsed/>
    <w:rsid w:val="00A275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7563"/>
    <w:rPr>
      <w:rFonts w:ascii="Segoe UI" w:eastAsia="PMingLiU" w:hAnsi="Segoe UI" w:cs="Segoe UI"/>
      <w:sz w:val="18"/>
      <w:szCs w:val="18"/>
      <w:lang w:val="en-US" w:eastAsia="zh-TW"/>
    </w:rPr>
  </w:style>
  <w:style w:type="paragraph" w:styleId="AklamaKonusu">
    <w:name w:val="annotation subject"/>
    <w:basedOn w:val="AklamaMetni"/>
    <w:next w:val="AklamaMetni"/>
    <w:link w:val="AklamaKonusuChar"/>
    <w:uiPriority w:val="99"/>
    <w:semiHidden/>
    <w:unhideWhenUsed/>
    <w:rsid w:val="00887FDB"/>
    <w:rPr>
      <w:b/>
      <w:bCs/>
    </w:rPr>
  </w:style>
  <w:style w:type="character" w:customStyle="1" w:styleId="AklamaKonusuChar">
    <w:name w:val="Açıklama Konusu Char"/>
    <w:basedOn w:val="AklamaMetniChar"/>
    <w:link w:val="AklamaKonusu"/>
    <w:uiPriority w:val="99"/>
    <w:semiHidden/>
    <w:rsid w:val="00887FDB"/>
    <w:rPr>
      <w:rFonts w:ascii="Calibri" w:eastAsia="PMingLiU" w:hAnsi="Calibri" w:cs="Times New Roman"/>
      <w:b/>
      <w:bCs/>
      <w:sz w:val="20"/>
      <w:szCs w:val="20"/>
      <w:lang w:val="en-US" w:eastAsia="zh-TW"/>
    </w:rPr>
  </w:style>
  <w:style w:type="paragraph" w:styleId="stbilgi">
    <w:name w:val="header"/>
    <w:basedOn w:val="Normal"/>
    <w:link w:val="stbilgiChar"/>
    <w:uiPriority w:val="99"/>
    <w:unhideWhenUsed/>
    <w:rsid w:val="009776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7622"/>
    <w:rPr>
      <w:rFonts w:ascii="Calibri" w:eastAsia="PMingLiU" w:hAnsi="Calibri" w:cs="Times New Roman"/>
      <w:lang w:val="en-US" w:eastAsia="zh-TW"/>
    </w:rPr>
  </w:style>
  <w:style w:type="paragraph" w:styleId="Altbilgi">
    <w:name w:val="footer"/>
    <w:basedOn w:val="Normal"/>
    <w:link w:val="AltbilgiChar"/>
    <w:uiPriority w:val="99"/>
    <w:unhideWhenUsed/>
    <w:rsid w:val="009776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7622"/>
    <w:rPr>
      <w:rFonts w:ascii="Calibri" w:eastAsia="PMingLiU" w:hAnsi="Calibri" w:cs="Times New Roman"/>
      <w:lang w:val="en-US" w:eastAsia="zh-TW"/>
    </w:rPr>
  </w:style>
  <w:style w:type="character" w:customStyle="1" w:styleId="Balk1Char">
    <w:name w:val="Başlık 1 Char"/>
    <w:basedOn w:val="VarsaylanParagrafYazTipi"/>
    <w:link w:val="Balk1"/>
    <w:uiPriority w:val="1"/>
    <w:rsid w:val="007C53F9"/>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13531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ERTÜRK</dc:creator>
  <cp:lastModifiedBy>SEKRETER</cp:lastModifiedBy>
  <cp:revision>2</cp:revision>
  <cp:lastPrinted>2017-12-25T11:47:00Z</cp:lastPrinted>
  <dcterms:created xsi:type="dcterms:W3CDTF">2018-06-04T07:00:00Z</dcterms:created>
  <dcterms:modified xsi:type="dcterms:W3CDTF">2018-06-04T07:00:00Z</dcterms:modified>
</cp:coreProperties>
</file>